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7DD43" w14:textId="77777777" w:rsidR="00FC08E0" w:rsidRPr="00FC08E0" w:rsidRDefault="00FC08E0" w:rsidP="00FC08E0">
      <w:pPr>
        <w:shd w:val="clear" w:color="auto" w:fill="FFFFFF"/>
        <w:spacing w:before="225" w:after="225" w:line="600" w:lineRule="atLeast"/>
        <w:outlineLvl w:val="1"/>
        <w:rPr>
          <w:rFonts w:ascii="Open Sans" w:eastAsia="Times New Roman" w:hAnsi="Open Sans" w:cs="Open Sans"/>
          <w:color w:val="444444"/>
          <w:kern w:val="0"/>
          <w:sz w:val="48"/>
          <w:szCs w:val="48"/>
          <w:lang w:eastAsia="ru-RU"/>
          <w14:ligatures w14:val="none"/>
        </w:rPr>
      </w:pPr>
      <w:r w:rsidRPr="00FC08E0">
        <w:rPr>
          <w:rFonts w:ascii="Open Sans" w:eastAsia="Times New Roman" w:hAnsi="Open Sans" w:cs="Open Sans"/>
          <w:color w:val="444444"/>
          <w:kern w:val="0"/>
          <w:sz w:val="48"/>
          <w:szCs w:val="48"/>
          <w:lang w:eastAsia="ru-RU"/>
          <w14:ligatures w14:val="none"/>
        </w:rPr>
        <w:t>СИСТЕМЫ НЕРАЗРУШАЮЩЕГО КОНТРОЛЯ</w:t>
      </w:r>
    </w:p>
    <w:p w14:paraId="1D101D99"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0" w:name="_Toc322119679"/>
      <w:bookmarkStart w:id="1" w:name="_Toc191278234"/>
      <w:bookmarkEnd w:id="0"/>
      <w:r w:rsidRPr="00FC08E0">
        <w:rPr>
          <w:rFonts w:ascii="Open Sans" w:eastAsia="Times New Roman" w:hAnsi="Open Sans" w:cs="Open Sans"/>
          <w:color w:val="1FA2D6"/>
          <w:kern w:val="0"/>
          <w:sz w:val="21"/>
          <w:szCs w:val="21"/>
          <w:lang w:eastAsia="ru-RU"/>
          <w14:ligatures w14:val="none"/>
        </w:rPr>
        <w:t>§ 6.1. Варианты, методы и системы неразрушающего контроля</w:t>
      </w:r>
      <w:bookmarkEnd w:id="1"/>
    </w:p>
    <w:p w14:paraId="0E4C2A49"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Каждому методу НК присущи регулируемые параметры процесса и аппаратуры контроля, обусловливающие достоверность обнаружения дефектов и воспроизводимость результатов контроля. Такие параметры составляют группу основных параметров метода. Основные параметры должны иметь размерность, способы и средства их количественной оценки.</w:t>
      </w:r>
      <w:r w:rsidRPr="00FC08E0">
        <w:rPr>
          <w:rFonts w:ascii="Open Sans" w:eastAsia="Times New Roman" w:hAnsi="Open Sans" w:cs="Open Sans"/>
          <w:color w:val="444444"/>
          <w:kern w:val="0"/>
          <w:sz w:val="21"/>
          <w:szCs w:val="21"/>
          <w:lang w:eastAsia="ru-RU"/>
          <w14:ligatures w14:val="none"/>
        </w:rPr>
        <w:br/>
        <w:t>Значения части основных параметров, при прочих равных условиях, определяются характеристиками (физическими параметрами) ОК. Такие основные параметры метода выделяют в группу основных параметров контроля. Каждому параметру контроля соответствует основной параметр аппаратуры. Например, длина упругой волны в материале ОК — параметр контроля, а частота колебаний, определяющая длину волны,— параметр аппаратуры. По мере развития методов НК возрастает и число параметров, включаемых в состав основных. Наиболее полно основные параметры метода, способы их измерения и стандартизации определены для акустических (ультразвуковых) методов НК [16].</w:t>
      </w:r>
    </w:p>
    <w:p w14:paraId="1AFEF2BC" w14:textId="1FE230E3"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 С учетом изложенного правомерно полагать, что каждый метод контроля одного и того же ОК может быть реализован в различных вариантах, отличающихся друг от друга числовым значением одного или нескольких основных параметров контроля. Для контроля качества объектов используют отдельные варианты методов НК или их сочетания.</w:t>
      </w:r>
      <w:r w:rsidRPr="00FC08E0">
        <w:rPr>
          <w:rFonts w:ascii="Open Sans" w:eastAsia="Times New Roman" w:hAnsi="Open Sans" w:cs="Open Sans"/>
          <w:color w:val="444444"/>
          <w:kern w:val="0"/>
          <w:sz w:val="21"/>
          <w:szCs w:val="21"/>
          <w:lang w:eastAsia="ru-RU"/>
          <w14:ligatures w14:val="none"/>
        </w:rPr>
        <w:br/>
        <w:t>Совокупность вариантов одного или различных методов НК, используемых по определенной программе для оценки качества конкретных объектов, называют системой неразрушающего контроля (системой НК). Такое определение системы НК соответствует ГОСТ 16504 - 81. В частном случае некоторая система НК. </w:t>
      </w:r>
      <w:r w:rsidRPr="00FC08E0">
        <w:rPr>
          <w:rFonts w:ascii="Open Sans" w:eastAsia="Times New Roman" w:hAnsi="Open Sans" w:cs="Open Sans"/>
          <w:i/>
          <w:iCs/>
          <w:color w:val="DD0055"/>
          <w:kern w:val="0"/>
          <w:sz w:val="21"/>
          <w:szCs w:val="21"/>
          <w:lang w:eastAsia="ru-RU"/>
          <w14:ligatures w14:val="none"/>
        </w:rPr>
        <w:t>С</w:t>
      </w:r>
      <w:r w:rsidRPr="00FC08E0">
        <w:rPr>
          <w:rFonts w:ascii="Open Sans" w:eastAsia="Times New Roman" w:hAnsi="Open Sans" w:cs="Open Sans"/>
          <w:color w:val="444444"/>
          <w:kern w:val="0"/>
          <w:sz w:val="21"/>
          <w:szCs w:val="21"/>
          <w:lang w:eastAsia="ru-RU"/>
          <w14:ligatures w14:val="none"/>
        </w:rPr>
        <w:t>j может включать один </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 или несколько </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0 вариантов метода, </w:t>
      </w:r>
      <w:r w:rsidRPr="00FC08E0">
        <w:rPr>
          <w:rFonts w:ascii="Open Sans" w:eastAsia="Times New Roman" w:hAnsi="Open Sans" w:cs="Open Sans"/>
          <w:i/>
          <w:iCs/>
          <w:color w:val="DD0055"/>
          <w:kern w:val="0"/>
          <w:sz w:val="21"/>
          <w:szCs w:val="21"/>
          <w:lang w:eastAsia="ru-RU"/>
          <w14:ligatures w14:val="none"/>
        </w:rPr>
        <w:t>М</w:t>
      </w:r>
      <w:r w:rsidRPr="00FC08E0">
        <w:rPr>
          <w:rFonts w:ascii="Open Sans" w:eastAsia="Times New Roman" w:hAnsi="Open Sans" w:cs="Open Sans"/>
          <w:color w:val="444444"/>
          <w:kern w:val="0"/>
          <w:sz w:val="21"/>
          <w:szCs w:val="21"/>
          <w:lang w:eastAsia="ru-RU"/>
          <w14:ligatures w14:val="none"/>
        </w:rPr>
        <w:t>. Обозначим вариант через </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 где </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 = l, </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0, а вариант метода — через </w:t>
      </w:r>
      <w:r w:rsidRPr="00FC08E0">
        <w:rPr>
          <w:rFonts w:ascii="Open Sans" w:eastAsia="Times New Roman" w:hAnsi="Open Sans" w:cs="Open Sans"/>
          <w:i/>
          <w:iCs/>
          <w:color w:val="DD0055"/>
          <w:kern w:val="0"/>
          <w:sz w:val="21"/>
          <w:szCs w:val="21"/>
          <w:lang w:eastAsia="ru-RU"/>
          <w14:ligatures w14:val="none"/>
        </w:rPr>
        <w:t>Mt</w:t>
      </w:r>
      <w:r w:rsidRPr="00FC08E0">
        <w:rPr>
          <w:rFonts w:ascii="Open Sans" w:eastAsia="Times New Roman" w:hAnsi="Open Sans" w:cs="Open Sans"/>
          <w:color w:val="444444"/>
          <w:kern w:val="0"/>
          <w:sz w:val="21"/>
          <w:szCs w:val="21"/>
          <w:lang w:eastAsia="ru-RU"/>
          <w14:ligatures w14:val="none"/>
        </w:rPr>
        <w:t>. В соответствии с определением системы НК ультразвуковой контроль объектов одним или независимо двумя операторами представляют две различные системы НК, Преимущество систем НК состоит и в том, что они позволяют получать от некоторых вариантов методов большую информацию, которая практически недостижима при использовании этих вариантов самостоятельно.</w:t>
      </w:r>
      <w:r w:rsidRPr="00FC08E0">
        <w:rPr>
          <w:rFonts w:ascii="Open Sans" w:eastAsia="Times New Roman" w:hAnsi="Open Sans" w:cs="Open Sans"/>
          <w:color w:val="444444"/>
          <w:kern w:val="0"/>
          <w:sz w:val="21"/>
          <w:szCs w:val="21"/>
          <w:lang w:eastAsia="ru-RU"/>
          <w14:ligatures w14:val="none"/>
        </w:rPr>
        <w:br/>
        <w:t>Для НК одного и того же объекта в общем случае может быть использовано множество различных систем </w:t>
      </w:r>
      <w:r w:rsidRPr="00FC08E0">
        <w:rPr>
          <w:rFonts w:ascii="Open Sans" w:eastAsia="Times New Roman" w:hAnsi="Open Sans" w:cs="Open Sans"/>
          <w:i/>
          <w:iCs/>
          <w:color w:val="DD0055"/>
          <w:kern w:val="0"/>
          <w:sz w:val="21"/>
          <w:szCs w:val="21"/>
          <w:lang w:eastAsia="ru-RU"/>
          <w14:ligatures w14:val="none"/>
        </w:rPr>
        <w:t>С</w:t>
      </w:r>
      <w:r w:rsidRPr="00FC08E0">
        <w:rPr>
          <w:rFonts w:ascii="Open Sans" w:eastAsia="Times New Roman" w:hAnsi="Open Sans" w:cs="Open Sans"/>
          <w:color w:val="444444"/>
          <w:kern w:val="0"/>
          <w:sz w:val="21"/>
          <w:szCs w:val="21"/>
          <w:lang w:eastAsia="ru-RU"/>
          <w14:ligatures w14:val="none"/>
        </w:rPr>
        <w:t>j, где </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=1, </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0. Необходимость введения количественного критерия </w:t>
      </w:r>
      <w:r w:rsidRPr="00FC08E0">
        <w:rPr>
          <w:rFonts w:ascii="Open Sans" w:eastAsia="Times New Roman" w:hAnsi="Open Sans" w:cs="Open Sans"/>
          <w:i/>
          <w:iCs/>
          <w:color w:val="DD0055"/>
          <w:kern w:val="0"/>
          <w:sz w:val="21"/>
          <w:szCs w:val="21"/>
          <w:lang w:eastAsia="ru-RU"/>
          <w14:ligatures w14:val="none"/>
        </w:rPr>
        <w:t>Q</w:t>
      </w:r>
      <w:r w:rsidRPr="00FC08E0">
        <w:rPr>
          <w:rFonts w:ascii="Open Sans" w:eastAsia="Times New Roman" w:hAnsi="Open Sans" w:cs="Open Sans"/>
          <w:color w:val="444444"/>
          <w:kern w:val="0"/>
          <w:sz w:val="21"/>
          <w:szCs w:val="21"/>
          <w:lang w:eastAsia="ru-RU"/>
          <w14:ligatures w14:val="none"/>
        </w:rPr>
        <w:t> для выбора наиболее эффективной системы НК конкретных объектов очевидна. Воспользуемся здесь критериями, рассмотренными в § 1.1.</w:t>
      </w:r>
      <w:r w:rsidRPr="00FC08E0">
        <w:rPr>
          <w:rFonts w:ascii="Open Sans" w:eastAsia="Times New Roman" w:hAnsi="Open Sans" w:cs="Open Sans"/>
          <w:color w:val="444444"/>
          <w:kern w:val="0"/>
          <w:sz w:val="21"/>
          <w:szCs w:val="21"/>
          <w:lang w:eastAsia="ru-RU"/>
          <w14:ligatures w14:val="none"/>
        </w:rPr>
        <w:br/>
        <w:t>Понятие эффективности связано с получением некоторого полезного результата (техническая эффективность), часто называемого выигрышем (</w:t>
      </w:r>
      <w:r w:rsidRPr="00FC08E0">
        <w:rPr>
          <w:rFonts w:ascii="Open Sans" w:eastAsia="Times New Roman" w:hAnsi="Open Sans" w:cs="Open Sans"/>
          <w:i/>
          <w:iCs/>
          <w:color w:val="DD0055"/>
          <w:kern w:val="0"/>
          <w:sz w:val="21"/>
          <w:szCs w:val="21"/>
          <w:lang w:eastAsia="ru-RU"/>
          <w14:ligatures w14:val="none"/>
        </w:rPr>
        <w:t>G</w:t>
      </w:r>
      <w:r w:rsidRPr="00FC08E0">
        <w:rPr>
          <w:rFonts w:ascii="Open Sans" w:eastAsia="Times New Roman" w:hAnsi="Open Sans" w:cs="Open Sans"/>
          <w:color w:val="444444"/>
          <w:kern w:val="0"/>
          <w:sz w:val="21"/>
          <w:szCs w:val="21"/>
          <w:lang w:eastAsia="ru-RU"/>
          <w14:ligatures w14:val="none"/>
        </w:rPr>
        <w:t>), и с суммарными затратами (</w:t>
      </w:r>
      <w:r w:rsidRPr="00FC08E0">
        <w:rPr>
          <w:rFonts w:ascii="Open Sans" w:eastAsia="Times New Roman" w:hAnsi="Open Sans" w:cs="Open Sans"/>
          <w:i/>
          <w:iCs/>
          <w:color w:val="DD0055"/>
          <w:kern w:val="0"/>
          <w:sz w:val="21"/>
          <w:szCs w:val="21"/>
          <w:lang w:eastAsia="ru-RU"/>
          <w14:ligatures w14:val="none"/>
        </w:rPr>
        <w:t>ЭΣ</w:t>
      </w:r>
      <w:r w:rsidRPr="00FC08E0">
        <w:rPr>
          <w:rFonts w:ascii="Open Sans" w:eastAsia="Times New Roman" w:hAnsi="Open Sans" w:cs="Open Sans"/>
          <w:color w:val="444444"/>
          <w:kern w:val="0"/>
          <w:sz w:val="21"/>
          <w:szCs w:val="21"/>
          <w:lang w:eastAsia="ru-RU"/>
          <w14:ligatures w14:val="none"/>
        </w:rPr>
        <w:t>), обеспечивающими достижение этого выигрыша. Если величины </w:t>
      </w:r>
      <w:r w:rsidRPr="00FC08E0">
        <w:rPr>
          <w:rFonts w:ascii="Open Sans" w:eastAsia="Times New Roman" w:hAnsi="Open Sans" w:cs="Open Sans"/>
          <w:i/>
          <w:iCs/>
          <w:color w:val="DD0055"/>
          <w:kern w:val="0"/>
          <w:sz w:val="21"/>
          <w:szCs w:val="21"/>
          <w:lang w:eastAsia="ru-RU"/>
          <w14:ligatures w14:val="none"/>
        </w:rPr>
        <w:t>G</w:t>
      </w:r>
      <w:r w:rsidRPr="00FC08E0">
        <w:rPr>
          <w:rFonts w:ascii="Open Sans" w:eastAsia="Times New Roman" w:hAnsi="Open Sans" w:cs="Open Sans"/>
          <w:color w:val="444444"/>
          <w:kern w:val="0"/>
          <w:sz w:val="21"/>
          <w:szCs w:val="21"/>
          <w:lang w:eastAsia="ru-RU"/>
          <w14:ligatures w14:val="none"/>
        </w:rPr>
        <w:t> и </w:t>
      </w:r>
      <w:r w:rsidRPr="00FC08E0">
        <w:rPr>
          <w:rFonts w:ascii="Open Sans" w:eastAsia="Times New Roman" w:hAnsi="Open Sans" w:cs="Open Sans"/>
          <w:i/>
          <w:iCs/>
          <w:color w:val="DD0055"/>
          <w:kern w:val="0"/>
          <w:sz w:val="21"/>
          <w:szCs w:val="21"/>
          <w:lang w:eastAsia="ru-RU"/>
          <w14:ligatures w14:val="none"/>
        </w:rPr>
        <w:t>ЭΣ</w:t>
      </w:r>
      <w:r w:rsidRPr="00FC08E0">
        <w:rPr>
          <w:rFonts w:ascii="Open Sans" w:eastAsia="Times New Roman" w:hAnsi="Open Sans" w:cs="Open Sans"/>
          <w:color w:val="444444"/>
          <w:kern w:val="0"/>
          <w:sz w:val="21"/>
          <w:szCs w:val="21"/>
          <w:lang w:eastAsia="ru-RU"/>
          <w14:ligatures w14:val="none"/>
        </w:rPr>
        <w:t> выражены в одинаковых единицах измерения, то мерой </w:t>
      </w:r>
      <w:r w:rsidRPr="00FC08E0">
        <w:rPr>
          <w:rFonts w:ascii="Open Sans" w:eastAsia="Times New Roman" w:hAnsi="Open Sans" w:cs="Open Sans"/>
          <w:i/>
          <w:iCs/>
          <w:color w:val="DD0055"/>
          <w:kern w:val="0"/>
          <w:sz w:val="21"/>
          <w:szCs w:val="21"/>
          <w:lang w:eastAsia="ru-RU"/>
          <w14:ligatures w14:val="none"/>
        </w:rPr>
        <w:t>Q</w:t>
      </w:r>
      <w:r w:rsidRPr="00FC08E0">
        <w:rPr>
          <w:rFonts w:ascii="Open Sans" w:eastAsia="Times New Roman" w:hAnsi="Open Sans" w:cs="Open Sans"/>
          <w:color w:val="444444"/>
          <w:kern w:val="0"/>
          <w:sz w:val="21"/>
          <w:szCs w:val="21"/>
          <w:lang w:eastAsia="ru-RU"/>
          <w14:ligatures w14:val="none"/>
        </w:rPr>
        <w:t> эффективности системы может служить разность </w:t>
      </w:r>
      <w:r w:rsidRPr="00FC08E0">
        <w:rPr>
          <w:rFonts w:ascii="Open Sans" w:eastAsia="Times New Roman" w:hAnsi="Open Sans" w:cs="Open Sans"/>
          <w:i/>
          <w:iCs/>
          <w:color w:val="DD0055"/>
          <w:kern w:val="0"/>
          <w:sz w:val="21"/>
          <w:szCs w:val="21"/>
          <w:lang w:eastAsia="ru-RU"/>
          <w14:ligatures w14:val="none"/>
        </w:rPr>
        <w:t>G</w:t>
      </w:r>
      <w:r w:rsidRPr="00FC08E0">
        <w:rPr>
          <w:rFonts w:ascii="Open Sans" w:eastAsia="Times New Roman" w:hAnsi="Open Sans" w:cs="Open Sans"/>
          <w:color w:val="444444"/>
          <w:kern w:val="0"/>
          <w:sz w:val="21"/>
          <w:szCs w:val="21"/>
          <w:lang w:eastAsia="ru-RU"/>
          <w14:ligatures w14:val="none"/>
        </w:rPr>
        <w:t> - </w:t>
      </w:r>
      <w:r w:rsidRPr="00FC08E0">
        <w:rPr>
          <w:rFonts w:ascii="Open Sans" w:eastAsia="Times New Roman" w:hAnsi="Open Sans" w:cs="Open Sans"/>
          <w:i/>
          <w:iCs/>
          <w:color w:val="DD0055"/>
          <w:kern w:val="0"/>
          <w:sz w:val="21"/>
          <w:szCs w:val="21"/>
          <w:lang w:eastAsia="ru-RU"/>
          <w14:ligatures w14:val="none"/>
        </w:rPr>
        <w:t>ЭΣ</w:t>
      </w:r>
      <w:r w:rsidRPr="00FC08E0">
        <w:rPr>
          <w:rFonts w:ascii="Open Sans" w:eastAsia="Times New Roman" w:hAnsi="Open Sans" w:cs="Open Sans"/>
          <w:color w:val="444444"/>
          <w:kern w:val="0"/>
          <w:sz w:val="21"/>
          <w:szCs w:val="21"/>
          <w:lang w:eastAsia="ru-RU"/>
          <w14:ligatures w14:val="none"/>
        </w:rPr>
        <w:t>, а если в различных единицах, то соотношение </w:t>
      </w:r>
      <w:r w:rsidRPr="00FC08E0">
        <w:rPr>
          <w:rFonts w:ascii="Open Sans" w:eastAsia="Times New Roman" w:hAnsi="Open Sans" w:cs="Open Sans"/>
          <w:i/>
          <w:iCs/>
          <w:color w:val="DD0055"/>
          <w:kern w:val="0"/>
          <w:sz w:val="21"/>
          <w:szCs w:val="21"/>
          <w:lang w:eastAsia="ru-RU"/>
          <w14:ligatures w14:val="none"/>
        </w:rPr>
        <w:t>G</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 ЭΣ</w:t>
      </w:r>
      <w:r w:rsidRPr="00FC08E0">
        <w:rPr>
          <w:rFonts w:ascii="Open Sans" w:eastAsia="Times New Roman" w:hAnsi="Open Sans" w:cs="Open Sans"/>
          <w:color w:val="444444"/>
          <w:kern w:val="0"/>
          <w:sz w:val="21"/>
          <w:szCs w:val="21"/>
          <w:lang w:eastAsia="ru-RU"/>
          <w14:ligatures w14:val="none"/>
        </w:rPr>
        <w:t> аналогичное (1.1).</w:t>
      </w:r>
      <w:r w:rsidRPr="00FC08E0">
        <w:rPr>
          <w:rFonts w:ascii="Open Sans" w:eastAsia="Times New Roman" w:hAnsi="Open Sans" w:cs="Open Sans"/>
          <w:color w:val="444444"/>
          <w:kern w:val="0"/>
          <w:sz w:val="21"/>
          <w:szCs w:val="21"/>
          <w:lang w:eastAsia="ru-RU"/>
          <w14:ligatures w14:val="none"/>
        </w:rPr>
        <w:br/>
        <w:t>С учетом изложенного для количественной оценки эффективности системы </w:t>
      </w:r>
      <w:r w:rsidRPr="00FC08E0">
        <w:rPr>
          <w:rFonts w:ascii="Open Sans" w:eastAsia="Times New Roman" w:hAnsi="Open Sans" w:cs="Open Sans"/>
          <w:i/>
          <w:iCs/>
          <w:color w:val="DD0055"/>
          <w:kern w:val="0"/>
          <w:sz w:val="21"/>
          <w:szCs w:val="21"/>
          <w:lang w:eastAsia="ru-RU"/>
          <w14:ligatures w14:val="none"/>
        </w:rPr>
        <w:t>С</w:t>
      </w:r>
      <w:r w:rsidRPr="00FC08E0">
        <w:rPr>
          <w:rFonts w:ascii="Open Sans" w:eastAsia="Times New Roman" w:hAnsi="Open Sans" w:cs="Open Sans"/>
          <w:color w:val="444444"/>
          <w:kern w:val="0"/>
          <w:sz w:val="21"/>
          <w:szCs w:val="21"/>
          <w:lang w:eastAsia="ru-RU"/>
          <w14:ligatures w14:val="none"/>
        </w:rPr>
        <w:t>j неразрушающего контроля качества целесообразно ввести интегральный критерий эффективности </w:t>
      </w:r>
      <w:r w:rsidRPr="00FC08E0">
        <w:rPr>
          <w:rFonts w:ascii="Open Sans" w:eastAsia="Times New Roman" w:hAnsi="Open Sans" w:cs="Open Sans"/>
          <w:i/>
          <w:iCs/>
          <w:color w:val="DD0055"/>
          <w:kern w:val="0"/>
          <w:sz w:val="21"/>
          <w:szCs w:val="21"/>
          <w:lang w:eastAsia="ru-RU"/>
          <w14:ligatures w14:val="none"/>
        </w:rPr>
        <w:t>Q</w:t>
      </w:r>
      <w:r w:rsidRPr="00FC08E0">
        <w:rPr>
          <w:rFonts w:ascii="Open Sans" w:eastAsia="Times New Roman" w:hAnsi="Open Sans" w:cs="Open Sans"/>
          <w:color w:val="444444"/>
          <w:kern w:val="0"/>
          <w:sz w:val="21"/>
          <w:szCs w:val="21"/>
          <w:lang w:eastAsia="ru-RU"/>
          <w14:ligatures w14:val="none"/>
        </w:rPr>
        <w:t xml:space="preserve">j, отражающий соотношение степени соответствия системы </w:t>
      </w:r>
      <w:r w:rsidRPr="00FC08E0">
        <w:rPr>
          <w:rFonts w:ascii="Open Sans" w:eastAsia="Times New Roman" w:hAnsi="Open Sans" w:cs="Open Sans"/>
          <w:color w:val="444444"/>
          <w:kern w:val="0"/>
          <w:sz w:val="21"/>
          <w:szCs w:val="21"/>
          <w:lang w:eastAsia="ru-RU"/>
          <w14:ligatures w14:val="none"/>
        </w:rPr>
        <w:lastRenderedPageBreak/>
        <w:t>поставленной цели (техническая эффективность </w:t>
      </w:r>
      <w:r w:rsidRPr="00FC08E0">
        <w:rPr>
          <w:rFonts w:ascii="Open Sans" w:eastAsia="Times New Roman" w:hAnsi="Open Sans" w:cs="Open Sans"/>
          <w:i/>
          <w:iCs/>
          <w:color w:val="DD0055"/>
          <w:kern w:val="0"/>
          <w:sz w:val="21"/>
          <w:szCs w:val="21"/>
          <w:lang w:eastAsia="ru-RU"/>
          <w14:ligatures w14:val="none"/>
        </w:rPr>
        <w:t>G</w:t>
      </w:r>
      <w:r w:rsidRPr="00FC08E0">
        <w:rPr>
          <w:rFonts w:ascii="Open Sans" w:eastAsia="Times New Roman" w:hAnsi="Open Sans" w:cs="Open Sans"/>
          <w:color w:val="444444"/>
          <w:kern w:val="0"/>
          <w:sz w:val="21"/>
          <w:szCs w:val="21"/>
          <w:lang w:eastAsia="ru-RU"/>
          <w14:ligatures w14:val="none"/>
        </w:rPr>
        <w:t>j) и суммарных затрат </w:t>
      </w:r>
      <w:r w:rsidRPr="00FC08E0">
        <w:rPr>
          <w:rFonts w:ascii="Open Sans" w:eastAsia="Times New Roman" w:hAnsi="Open Sans" w:cs="Open Sans"/>
          <w:i/>
          <w:iCs/>
          <w:color w:val="DD0055"/>
          <w:kern w:val="0"/>
          <w:sz w:val="21"/>
          <w:szCs w:val="21"/>
          <w:lang w:eastAsia="ru-RU"/>
          <w14:ligatures w14:val="none"/>
        </w:rPr>
        <w:t>ЭΣj</w:t>
      </w:r>
      <w:r w:rsidRPr="00FC08E0">
        <w:rPr>
          <w:rFonts w:ascii="Open Sans" w:eastAsia="Times New Roman" w:hAnsi="Open Sans" w:cs="Open Sans"/>
          <w:color w:val="444444"/>
          <w:kern w:val="0"/>
          <w:sz w:val="21"/>
          <w:szCs w:val="21"/>
          <w:lang w:eastAsia="ru-RU"/>
          <w14:ligatures w14:val="none"/>
        </w:rPr>
        <w:t> за счет которых достигнута эта техническая эффективность, т.е.</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0CFFB230" wp14:editId="3930CAD5">
            <wp:extent cx="838200" cy="236220"/>
            <wp:effectExtent l="0" t="0" r="0" b="0"/>
            <wp:docPr id="1970868708"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3820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(6.1)</w:t>
      </w:r>
      <w:r w:rsidRPr="00FC08E0">
        <w:rPr>
          <w:rFonts w:ascii="Open Sans" w:eastAsia="Times New Roman" w:hAnsi="Open Sans" w:cs="Open Sans"/>
          <w:color w:val="444444"/>
          <w:kern w:val="0"/>
          <w:sz w:val="21"/>
          <w:szCs w:val="21"/>
          <w:lang w:eastAsia="ru-RU"/>
          <w14:ligatures w14:val="none"/>
        </w:rPr>
        <w:br/>
        <w:t>Заметим, что сравнивать числовые значения критерия </w:t>
      </w:r>
      <w:r w:rsidRPr="00FC08E0">
        <w:rPr>
          <w:rFonts w:ascii="Open Sans" w:eastAsia="Times New Roman" w:hAnsi="Open Sans" w:cs="Open Sans"/>
          <w:i/>
          <w:iCs/>
          <w:color w:val="DD0055"/>
          <w:kern w:val="0"/>
          <w:sz w:val="21"/>
          <w:szCs w:val="21"/>
          <w:lang w:eastAsia="ru-RU"/>
          <w14:ligatures w14:val="none"/>
        </w:rPr>
        <w:t>Q</w:t>
      </w:r>
      <w:r w:rsidRPr="00FC08E0">
        <w:rPr>
          <w:rFonts w:ascii="Open Sans" w:eastAsia="Times New Roman" w:hAnsi="Open Sans" w:cs="Open Sans"/>
          <w:color w:val="444444"/>
          <w:kern w:val="0"/>
          <w:sz w:val="21"/>
          <w:szCs w:val="21"/>
          <w:lang w:eastAsia="ru-RU"/>
          <w14:ligatures w14:val="none"/>
        </w:rPr>
        <w:t> можно лишь для систем, обладающих одинаковыми значениями </w:t>
      </w:r>
      <w:r w:rsidRPr="00FC08E0">
        <w:rPr>
          <w:rFonts w:ascii="Open Sans" w:eastAsia="Times New Roman" w:hAnsi="Open Sans" w:cs="Open Sans"/>
          <w:i/>
          <w:iCs/>
          <w:color w:val="DD0055"/>
          <w:kern w:val="0"/>
          <w:sz w:val="21"/>
          <w:szCs w:val="21"/>
          <w:lang w:eastAsia="ru-RU"/>
          <w14:ligatures w14:val="none"/>
        </w:rPr>
        <w:t>G</w:t>
      </w:r>
      <w:r w:rsidRPr="00FC08E0">
        <w:rPr>
          <w:rFonts w:ascii="Open Sans" w:eastAsia="Times New Roman" w:hAnsi="Open Sans" w:cs="Open Sans"/>
          <w:color w:val="444444"/>
          <w:kern w:val="0"/>
          <w:sz w:val="21"/>
          <w:szCs w:val="21"/>
          <w:lang w:eastAsia="ru-RU"/>
          <w14:ligatures w14:val="none"/>
        </w:rPr>
        <w:t>. Применение интегрального критерия «техническая эффективность — стоимость» в качестве ведущего принципа исследования систем НК позволяет ввести количественную определенность в понятиях «плохая», «хорошая» и «лучшая» системы (см. § 1.1).</w:t>
      </w:r>
      <w:r w:rsidRPr="00FC08E0">
        <w:rPr>
          <w:rFonts w:ascii="Open Sans" w:eastAsia="Times New Roman" w:hAnsi="Open Sans" w:cs="Open Sans"/>
          <w:color w:val="444444"/>
          <w:kern w:val="0"/>
          <w:sz w:val="21"/>
          <w:szCs w:val="21"/>
          <w:lang w:eastAsia="ru-RU"/>
          <w14:ligatures w14:val="none"/>
        </w:rPr>
        <w:br/>
        <w:t>Эффективность </w:t>
      </w:r>
      <w:r w:rsidRPr="00FC08E0">
        <w:rPr>
          <w:rFonts w:ascii="Open Sans" w:eastAsia="Times New Roman" w:hAnsi="Open Sans" w:cs="Open Sans"/>
          <w:i/>
          <w:iCs/>
          <w:color w:val="DD0055"/>
          <w:kern w:val="0"/>
          <w:sz w:val="21"/>
          <w:szCs w:val="21"/>
          <w:lang w:eastAsia="ru-RU"/>
          <w14:ligatures w14:val="none"/>
        </w:rPr>
        <w:t>Q</w:t>
      </w:r>
      <w:r w:rsidRPr="00FC08E0">
        <w:rPr>
          <w:rFonts w:ascii="Open Sans" w:eastAsia="Times New Roman" w:hAnsi="Open Sans" w:cs="Open Sans"/>
          <w:color w:val="444444"/>
          <w:kern w:val="0"/>
          <w:sz w:val="21"/>
          <w:szCs w:val="21"/>
          <w:lang w:eastAsia="ru-RU"/>
          <w14:ligatures w14:val="none"/>
        </w:rPr>
        <w:t>j системы контроля </w:t>
      </w:r>
      <w:r w:rsidRPr="00FC08E0">
        <w:rPr>
          <w:rFonts w:ascii="Open Sans" w:eastAsia="Times New Roman" w:hAnsi="Open Sans" w:cs="Open Sans"/>
          <w:i/>
          <w:iCs/>
          <w:color w:val="DD0055"/>
          <w:kern w:val="0"/>
          <w:sz w:val="21"/>
          <w:szCs w:val="21"/>
          <w:lang w:eastAsia="ru-RU"/>
          <w14:ligatures w14:val="none"/>
        </w:rPr>
        <w:t>Сj</w:t>
      </w:r>
      <w:r w:rsidRPr="00FC08E0">
        <w:rPr>
          <w:rFonts w:ascii="Open Sans" w:eastAsia="Times New Roman" w:hAnsi="Open Sans" w:cs="Open Sans"/>
          <w:color w:val="444444"/>
          <w:kern w:val="0"/>
          <w:sz w:val="21"/>
          <w:szCs w:val="21"/>
          <w:lang w:eastAsia="ru-RU"/>
          <w14:ligatures w14:val="none"/>
        </w:rPr>
        <w:t> зависит от множества </w:t>
      </w:r>
      <w:r w:rsidRPr="00FC08E0">
        <w:rPr>
          <w:rFonts w:ascii="Open Sans" w:eastAsia="Times New Roman" w:hAnsi="Open Sans" w:cs="Open Sans"/>
          <w:i/>
          <w:iCs/>
          <w:color w:val="DD0055"/>
          <w:kern w:val="0"/>
          <w:sz w:val="21"/>
          <w:szCs w:val="21"/>
          <w:lang w:eastAsia="ru-RU"/>
          <w14:ligatures w14:val="none"/>
        </w:rPr>
        <w:t>X</w:t>
      </w:r>
      <w:r w:rsidRPr="00FC08E0">
        <w:rPr>
          <w:rFonts w:ascii="Open Sans" w:eastAsia="Times New Roman" w:hAnsi="Open Sans" w:cs="Open Sans"/>
          <w:color w:val="444444"/>
          <w:kern w:val="0"/>
          <w:sz w:val="21"/>
          <w:szCs w:val="21"/>
          <w:lang w:eastAsia="ru-RU"/>
          <w14:ligatures w14:val="none"/>
        </w:rPr>
        <w:t>j = {</w:t>
      </w:r>
      <w:r w:rsidRPr="00FC08E0">
        <w:rPr>
          <w:rFonts w:ascii="Open Sans" w:eastAsia="Times New Roman" w:hAnsi="Open Sans" w:cs="Open Sans"/>
          <w:i/>
          <w:iCs/>
          <w:color w:val="DD0055"/>
          <w:kern w:val="0"/>
          <w:sz w:val="21"/>
          <w:szCs w:val="21"/>
          <w:lang w:eastAsia="ru-RU"/>
          <w14:ligatures w14:val="none"/>
        </w:rPr>
        <w:t>x</w:t>
      </w:r>
      <w:r w:rsidRPr="00FC08E0">
        <w:rPr>
          <w:rFonts w:ascii="Open Sans" w:eastAsia="Times New Roman" w:hAnsi="Open Sans" w:cs="Open Sans"/>
          <w:color w:val="444444"/>
          <w:kern w:val="0"/>
          <w:sz w:val="21"/>
          <w:szCs w:val="21"/>
          <w:lang w:eastAsia="ru-RU"/>
          <w14:ligatures w14:val="none"/>
        </w:rPr>
        <w:t>j}, где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1, </w:t>
      </w:r>
      <w:r w:rsidRPr="00FC08E0">
        <w:rPr>
          <w:rFonts w:ascii="Open Sans" w:eastAsia="Times New Roman" w:hAnsi="Open Sans" w:cs="Open Sans"/>
          <w:i/>
          <w:iCs/>
          <w:color w:val="DD0055"/>
          <w:kern w:val="0"/>
          <w:sz w:val="21"/>
          <w:szCs w:val="21"/>
          <w:lang w:eastAsia="ru-RU"/>
          <w14:ligatures w14:val="none"/>
        </w:rPr>
        <w:t>n</w:t>
      </w:r>
      <w:r w:rsidRPr="00FC08E0">
        <w:rPr>
          <w:rFonts w:ascii="Open Sans" w:eastAsia="Times New Roman" w:hAnsi="Open Sans" w:cs="Open Sans"/>
          <w:color w:val="444444"/>
          <w:kern w:val="0"/>
          <w:sz w:val="21"/>
          <w:szCs w:val="21"/>
          <w:lang w:eastAsia="ru-RU"/>
          <w14:ligatures w14:val="none"/>
        </w:rPr>
        <w:t>, параметров самой системы и от множества </w:t>
      </w:r>
      <w:r w:rsidRPr="00FC08E0">
        <w:rPr>
          <w:rFonts w:ascii="Open Sans" w:eastAsia="Times New Roman" w:hAnsi="Open Sans" w:cs="Open Sans"/>
          <w:i/>
          <w:iCs/>
          <w:color w:val="DD0055"/>
          <w:kern w:val="0"/>
          <w:sz w:val="21"/>
          <w:szCs w:val="21"/>
          <w:lang w:eastAsia="ru-RU"/>
          <w14:ligatures w14:val="none"/>
        </w:rPr>
        <w:t>Y</w:t>
      </w:r>
      <w:r w:rsidRPr="00FC08E0">
        <w:rPr>
          <w:rFonts w:ascii="Open Sans" w:eastAsia="Times New Roman" w:hAnsi="Open Sans" w:cs="Open Sans"/>
          <w:color w:val="444444"/>
          <w:kern w:val="0"/>
          <w:sz w:val="21"/>
          <w:szCs w:val="21"/>
          <w:lang w:eastAsia="ru-RU"/>
          <w14:ligatures w14:val="none"/>
        </w:rPr>
        <w:t> = {</w:t>
      </w:r>
      <w:r w:rsidRPr="00FC08E0">
        <w:rPr>
          <w:rFonts w:ascii="Open Sans" w:eastAsia="Times New Roman" w:hAnsi="Open Sans" w:cs="Open Sans"/>
          <w:i/>
          <w:iCs/>
          <w:color w:val="DD0055"/>
          <w:kern w:val="0"/>
          <w:sz w:val="21"/>
          <w:szCs w:val="21"/>
          <w:lang w:eastAsia="ru-RU"/>
          <w14:ligatures w14:val="none"/>
        </w:rPr>
        <w:t>y</w:t>
      </w:r>
      <w:r w:rsidRPr="00FC08E0">
        <w:rPr>
          <w:rFonts w:ascii="Open Sans" w:eastAsia="Times New Roman" w:hAnsi="Open Sans" w:cs="Open Sans"/>
          <w:color w:val="444444"/>
          <w:kern w:val="0"/>
          <w:sz w:val="21"/>
          <w:szCs w:val="21"/>
          <w:lang w:eastAsia="ru-RU"/>
          <w14:ligatures w14:val="none"/>
        </w:rPr>
        <w:t>s}, где s = 1, </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параметров контролируемых объектов. Тогда</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4863A611" wp14:editId="5EE3FB47">
            <wp:extent cx="944880" cy="236220"/>
            <wp:effectExtent l="0" t="0" r="7620" b="0"/>
            <wp:docPr id="1098913408"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488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В соответствии с этим при проектировании систем контроля правомерны следующие формулировки задачи:</w:t>
      </w:r>
      <w:r w:rsidRPr="00FC08E0">
        <w:rPr>
          <w:rFonts w:ascii="Open Sans" w:eastAsia="Times New Roman" w:hAnsi="Open Sans" w:cs="Open Sans"/>
          <w:color w:val="444444"/>
          <w:kern w:val="0"/>
          <w:sz w:val="21"/>
          <w:szCs w:val="21"/>
          <w:lang w:eastAsia="ru-RU"/>
          <w14:ligatures w14:val="none"/>
        </w:rPr>
        <w:br/>
        <w:t>1. Минимизировать затраты </w:t>
      </w:r>
      <w:r w:rsidRPr="00FC08E0">
        <w:rPr>
          <w:rFonts w:ascii="Open Sans" w:eastAsia="Times New Roman" w:hAnsi="Open Sans" w:cs="Open Sans"/>
          <w:noProof/>
          <w:color w:val="444444"/>
          <w:kern w:val="0"/>
          <w:sz w:val="21"/>
          <w:szCs w:val="21"/>
          <w:lang w:eastAsia="ru-RU"/>
          <w14:ligatures w14:val="none"/>
        </w:rPr>
        <w:drawing>
          <wp:inline distT="0" distB="0" distL="0" distR="0" wp14:anchorId="31E6B0B8" wp14:editId="48032EEC">
            <wp:extent cx="960120" cy="259080"/>
            <wp:effectExtent l="0" t="0" r="0" b="7620"/>
            <wp:docPr id="389821417"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60120" cy="25908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на функционирование системы при условии, что обеспечена техническая эффективность не ниже некоторого минимально допустимого значения</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i/>
          <w:iCs/>
          <w:color w:val="DD0055"/>
          <w:kern w:val="0"/>
          <w:sz w:val="21"/>
          <w:szCs w:val="21"/>
          <w:lang w:eastAsia="ru-RU"/>
          <w14:ligatures w14:val="none"/>
        </w:rPr>
        <w:t>G</w:t>
      </w:r>
      <w:r w:rsidRPr="00FC08E0">
        <w:rPr>
          <w:rFonts w:ascii="Open Sans" w:eastAsia="Times New Roman" w:hAnsi="Open Sans" w:cs="Open Sans"/>
          <w:color w:val="444444"/>
          <w:kern w:val="0"/>
          <w:sz w:val="21"/>
          <w:szCs w:val="21"/>
          <w:lang w:eastAsia="ru-RU"/>
          <w14:ligatures w14:val="none"/>
        </w:rPr>
        <w:t>*, т.е. найти</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7A1654D0" wp14:editId="62BE282C">
            <wp:extent cx="1173480" cy="297180"/>
            <wp:effectExtent l="0" t="0" r="7620" b="7620"/>
            <wp:docPr id="155969287"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73480" cy="29718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2. Максимизировать техническую эффективность </w:t>
      </w:r>
      <w:r w:rsidRPr="00FC08E0">
        <w:rPr>
          <w:rFonts w:ascii="Open Sans" w:eastAsia="Times New Roman" w:hAnsi="Open Sans" w:cs="Open Sans"/>
          <w:noProof/>
          <w:color w:val="444444"/>
          <w:kern w:val="0"/>
          <w:sz w:val="21"/>
          <w:szCs w:val="21"/>
          <w:lang w:eastAsia="ru-RU"/>
          <w14:ligatures w14:val="none"/>
        </w:rPr>
        <w:drawing>
          <wp:inline distT="0" distB="0" distL="0" distR="0" wp14:anchorId="45C0A4D3" wp14:editId="2525AFA6">
            <wp:extent cx="868680" cy="236220"/>
            <wp:effectExtent l="0" t="0" r="7620" b="0"/>
            <wp:docPr id="1065876586"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6868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при затратах, не превышающих допустимого значения Э%*, т.е. определить</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0A8016D6" wp14:editId="45C12123">
            <wp:extent cx="1188720" cy="274320"/>
            <wp:effectExtent l="0" t="0" r="0" b="0"/>
            <wp:docPr id="1326347410"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8720" cy="2743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В ряде случаев, когда для контроля однотипных объектов уже применяют различные методы контроля и когда невозможно строго обосновать значения </w:t>
      </w:r>
      <w:r w:rsidRPr="00FC08E0">
        <w:rPr>
          <w:rFonts w:ascii="Open Sans" w:eastAsia="Times New Roman" w:hAnsi="Open Sans" w:cs="Open Sans"/>
          <w:i/>
          <w:iCs/>
          <w:color w:val="DD0055"/>
          <w:kern w:val="0"/>
          <w:sz w:val="21"/>
          <w:szCs w:val="21"/>
          <w:lang w:eastAsia="ru-RU"/>
          <w14:ligatures w14:val="none"/>
        </w:rPr>
        <w:t>G</w:t>
      </w:r>
      <w:r w:rsidRPr="00FC08E0">
        <w:rPr>
          <w:rFonts w:ascii="Open Sans" w:eastAsia="Times New Roman" w:hAnsi="Open Sans" w:cs="Open Sans"/>
          <w:color w:val="444444"/>
          <w:kern w:val="0"/>
          <w:sz w:val="21"/>
          <w:szCs w:val="21"/>
          <w:lang w:eastAsia="ru-RU"/>
          <w14:ligatures w14:val="none"/>
        </w:rPr>
        <w:t>* или </w:t>
      </w:r>
      <w:r w:rsidRPr="00FC08E0">
        <w:rPr>
          <w:rFonts w:ascii="Open Sans" w:eastAsia="Times New Roman" w:hAnsi="Open Sans" w:cs="Open Sans"/>
          <w:i/>
          <w:iCs/>
          <w:color w:val="DD0055"/>
          <w:kern w:val="0"/>
          <w:sz w:val="21"/>
          <w:szCs w:val="21"/>
          <w:lang w:eastAsia="ru-RU"/>
          <w14:ligatures w14:val="none"/>
        </w:rPr>
        <w:t>ЭΣ*</w:t>
      </w:r>
      <w:r w:rsidRPr="00FC08E0">
        <w:rPr>
          <w:rFonts w:ascii="Open Sans" w:eastAsia="Times New Roman" w:hAnsi="Open Sans" w:cs="Open Sans"/>
          <w:color w:val="444444"/>
          <w:kern w:val="0"/>
          <w:sz w:val="21"/>
          <w:szCs w:val="21"/>
          <w:lang w:eastAsia="ru-RU"/>
          <w14:ligatures w14:val="none"/>
        </w:rPr>
        <w:t>, то задача сводится к выбору такой из возможных систем с максимальным значением технической эффективности </w:t>
      </w:r>
      <w:r w:rsidRPr="00FC08E0">
        <w:rPr>
          <w:rFonts w:ascii="Open Sans" w:eastAsia="Times New Roman" w:hAnsi="Open Sans" w:cs="Open Sans"/>
          <w:i/>
          <w:iCs/>
          <w:color w:val="DD0055"/>
          <w:kern w:val="0"/>
          <w:sz w:val="21"/>
          <w:szCs w:val="21"/>
          <w:lang w:eastAsia="ru-RU"/>
          <w14:ligatures w14:val="none"/>
        </w:rPr>
        <w:t>G</w:t>
      </w:r>
      <w:r w:rsidRPr="00FC08E0">
        <w:rPr>
          <w:rFonts w:ascii="Open Sans" w:eastAsia="Times New Roman" w:hAnsi="Open Sans" w:cs="Open Sans"/>
          <w:color w:val="444444"/>
          <w:kern w:val="0"/>
          <w:sz w:val="21"/>
          <w:szCs w:val="21"/>
          <w:lang w:eastAsia="ru-RU"/>
          <w14:ligatures w14:val="none"/>
        </w:rPr>
        <w:t>, затраты </w:t>
      </w:r>
      <w:r w:rsidRPr="00FC08E0">
        <w:rPr>
          <w:rFonts w:ascii="Open Sans" w:eastAsia="Times New Roman" w:hAnsi="Open Sans" w:cs="Open Sans"/>
          <w:i/>
          <w:iCs/>
          <w:color w:val="DD0055"/>
          <w:kern w:val="0"/>
          <w:sz w:val="21"/>
          <w:szCs w:val="21"/>
          <w:lang w:eastAsia="ru-RU"/>
          <w14:ligatures w14:val="none"/>
        </w:rPr>
        <w:t>ЭΣ</w:t>
      </w:r>
      <w:r w:rsidRPr="00FC08E0">
        <w:rPr>
          <w:rFonts w:ascii="Open Sans" w:eastAsia="Times New Roman" w:hAnsi="Open Sans" w:cs="Open Sans"/>
          <w:color w:val="444444"/>
          <w:kern w:val="0"/>
          <w:sz w:val="21"/>
          <w:szCs w:val="21"/>
          <w:lang w:eastAsia="ru-RU"/>
          <w14:ligatures w14:val="none"/>
        </w:rPr>
        <w:t> на которую минимальны.</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lastRenderedPageBreak/>
        <w:drawing>
          <wp:inline distT="0" distB="0" distL="0" distR="0" wp14:anchorId="6EF8BD99" wp14:editId="5CDC043F">
            <wp:extent cx="4305300" cy="4191000"/>
            <wp:effectExtent l="0" t="0" r="0" b="0"/>
            <wp:docPr id="2113875233"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05300" cy="419100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Рис. 6.1. Алгоритм формирования требований к качеству объекта</w:t>
      </w:r>
      <w:r w:rsidRPr="00FC08E0">
        <w:rPr>
          <w:rFonts w:ascii="Open Sans" w:eastAsia="Times New Roman" w:hAnsi="Open Sans" w:cs="Open Sans"/>
          <w:color w:val="444444"/>
          <w:kern w:val="0"/>
          <w:sz w:val="21"/>
          <w:szCs w:val="21"/>
          <w:lang w:eastAsia="ru-RU"/>
          <w14:ligatures w14:val="none"/>
        </w:rPr>
        <w:br/>
        <w:t>и эффективной системы НК этих объектов</w:t>
      </w:r>
    </w:p>
    <w:p w14:paraId="41B2E353"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Выбор эффективных систем НК должен выполняться на базе предварительно полученной информации о типе и размерах объекта контроля; требованиях к качеству объекта; вероятностях образования (т.е. распределениях) различных дефектов в объекте; потенциальной опасности дефектов; физических характеристиках материала, из которого изготавливают объекты контроля, и дефектах, обусловливающих возможности методов НК; вероятностях обнаружения дефектов вариантами методов НК; затратах на контроль различными методами; стоимостных соотношениях пропуска дефектов и перебраковки объектов контроля.</w:t>
      </w:r>
      <w:r w:rsidRPr="00FC08E0">
        <w:rPr>
          <w:rFonts w:ascii="Open Sans" w:eastAsia="Times New Roman" w:hAnsi="Open Sans" w:cs="Open Sans"/>
          <w:color w:val="444444"/>
          <w:kern w:val="0"/>
          <w:sz w:val="21"/>
          <w:szCs w:val="21"/>
          <w:lang w:eastAsia="ru-RU"/>
          <w14:ligatures w14:val="none"/>
        </w:rPr>
        <w:br/>
        <w:t>В свою очередь с целью оптимизации системы НК требования к качеству объектов должны формулироваться не только исходя из потенциальной опасности дефектов, но и с учетом обеспечения контролепригодности объектов.</w:t>
      </w:r>
      <w:r w:rsidRPr="00FC08E0">
        <w:rPr>
          <w:rFonts w:ascii="Open Sans" w:eastAsia="Times New Roman" w:hAnsi="Open Sans" w:cs="Open Sans"/>
          <w:color w:val="444444"/>
          <w:kern w:val="0"/>
          <w:sz w:val="21"/>
          <w:szCs w:val="21"/>
          <w:lang w:eastAsia="ru-RU"/>
          <w14:ligatures w14:val="none"/>
        </w:rPr>
        <w:br/>
        <w:t>Вероятность образования, потенциальная опасность и вероятность выявления дефектов отдельными методами НК могут быть установлены только на основе обработки статистических данных контроля объектов, эффективная система НК которых выбирается. Отсюда следует, что выбору эффективной системы НК должно предшествовать широкое применение отдельных методов для контроля данных или аналогичных объектов. Таким образом, процессы формирования требований к качеству объектов и эффективной системы НК этих объектов следует рассматривать как взаимосвязанные (рис. 6.1).</w:t>
      </w:r>
      <w:r w:rsidRPr="00FC08E0">
        <w:rPr>
          <w:rFonts w:ascii="Open Sans" w:eastAsia="Times New Roman" w:hAnsi="Open Sans" w:cs="Open Sans"/>
          <w:color w:val="444444"/>
          <w:kern w:val="0"/>
          <w:sz w:val="21"/>
          <w:szCs w:val="21"/>
          <w:lang w:eastAsia="ru-RU"/>
          <w14:ligatures w14:val="none"/>
        </w:rPr>
        <w:br/>
        <w:t>Системный подход к эффективности методов и средств НК требует конкретизации известных и введения новых понятий НК, а также математической формализации процесса дефектоскопи-рования.</w:t>
      </w:r>
    </w:p>
    <w:p w14:paraId="06C7B681"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2" w:name="_Toc322119680"/>
      <w:bookmarkStart w:id="3" w:name="_Toc191278235"/>
      <w:bookmarkEnd w:id="2"/>
      <w:r w:rsidRPr="00FC08E0">
        <w:rPr>
          <w:rFonts w:ascii="Open Sans" w:eastAsia="Times New Roman" w:hAnsi="Open Sans" w:cs="Open Sans"/>
          <w:color w:val="1FA2D6"/>
          <w:kern w:val="0"/>
          <w:sz w:val="21"/>
          <w:szCs w:val="21"/>
          <w:lang w:eastAsia="ru-RU"/>
          <w14:ligatures w14:val="none"/>
        </w:rPr>
        <w:t>§ 6.2. Характеристики дефекта и дефектность</w:t>
      </w:r>
      <w:bookmarkEnd w:id="3"/>
      <w:r w:rsidRPr="00FC08E0">
        <w:rPr>
          <w:rFonts w:ascii="Open Sans" w:eastAsia="Times New Roman" w:hAnsi="Open Sans" w:cs="Open Sans"/>
          <w:color w:val="444444"/>
          <w:kern w:val="0"/>
          <w:sz w:val="21"/>
          <w:szCs w:val="21"/>
          <w:lang w:eastAsia="ru-RU"/>
          <w14:ligatures w14:val="none"/>
        </w:rPr>
        <w:br/>
        <w:t xml:space="preserve">Основная задача НК, как это показано во введении и § 1.4, — обнаружение в объектах контроля дефектов четырех типов: не-сплошностей, структурных неоднородностей, </w:t>
      </w:r>
      <w:r w:rsidRPr="00FC08E0">
        <w:rPr>
          <w:rFonts w:ascii="Open Sans" w:eastAsia="Times New Roman" w:hAnsi="Open Sans" w:cs="Open Sans"/>
          <w:color w:val="444444"/>
          <w:kern w:val="0"/>
          <w:sz w:val="21"/>
          <w:szCs w:val="21"/>
          <w:lang w:eastAsia="ru-RU"/>
          <w14:ligatures w14:val="none"/>
        </w:rPr>
        <w:lastRenderedPageBreak/>
        <w:t>отклонений размеров и физико-механических свойств материала от значений, нормированных в НТД. Преобладающий тип дефектов — несплошности. Поэтому в практике НК под дефектом в объекте понимают несплошность, если тип дефекта не оговорен дополнительно.</w:t>
      </w:r>
      <w:r w:rsidRPr="00FC08E0">
        <w:rPr>
          <w:rFonts w:ascii="Open Sans" w:eastAsia="Times New Roman" w:hAnsi="Open Sans" w:cs="Open Sans"/>
          <w:color w:val="444444"/>
          <w:kern w:val="0"/>
          <w:sz w:val="21"/>
          <w:szCs w:val="21"/>
          <w:lang w:eastAsia="ru-RU"/>
          <w14:ligatures w14:val="none"/>
        </w:rPr>
        <w:br/>
        <w:t>Природа несцлошностей многоообразна. По месту расположения несплошностей (дефектов) в объекте их разделяют на поверхностные (выходящие наружу), подповерхностные (расположенные на глубине около 1 мм под поверхностью объекта) и внутренние (отстоящие от поверхности на 1 мм и более); особую группу составляют сквозные дефекты, т.е. несплошности, пронизывающие всю толщину объекта и выходящие на две его противоположные поверхности.</w:t>
      </w:r>
      <w:r w:rsidRPr="00FC08E0">
        <w:rPr>
          <w:rFonts w:ascii="Open Sans" w:eastAsia="Times New Roman" w:hAnsi="Open Sans" w:cs="Open Sans"/>
          <w:color w:val="444444"/>
          <w:kern w:val="0"/>
          <w:sz w:val="21"/>
          <w:szCs w:val="21"/>
          <w:lang w:eastAsia="ru-RU"/>
          <w14:ligatures w14:val="none"/>
        </w:rPr>
        <w:br/>
        <w:t>При НК объектов в общем случае под дефектом понимают одну несплошность (структурную неоднородность, изменение размеров, механических свойств) или группу несплошностей (структурных неоднородностей, изменений размеров, физико-механических свойств), не предусмотренную конструкторско-технологической документацией и не зависимую по воздействию на объект от других несплошностей (структурных неоднородностей, изменений размеров и физико-механических свойств) (рис. 6.2). Приведенное определение дефекта, соответствуя ГОСТ 15467 - 79, обусловливает возможность формализации процесса НК (дефектоскопирования).</w:t>
      </w:r>
      <w:r w:rsidRPr="00FC08E0">
        <w:rPr>
          <w:rFonts w:ascii="Open Sans" w:eastAsia="Times New Roman" w:hAnsi="Open Sans" w:cs="Open Sans"/>
          <w:color w:val="444444"/>
          <w:kern w:val="0"/>
          <w:sz w:val="21"/>
          <w:szCs w:val="21"/>
          <w:lang w:eastAsia="ru-RU"/>
          <w14:ligatures w14:val="none"/>
        </w:rPr>
        <w:br/>
        <w:t>В объекте могут быть дефекты различного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где </w:t>
      </w:r>
      <w:r w:rsidRPr="00FC08E0">
        <w:rPr>
          <w:rFonts w:ascii="Open Sans" w:eastAsia="Times New Roman" w:hAnsi="Open Sans" w:cs="Open Sans"/>
          <w:i/>
          <w:iCs/>
          <w:color w:val="DD0055"/>
          <w:kern w:val="0"/>
          <w:sz w:val="21"/>
          <w:szCs w:val="21"/>
          <w:lang w:eastAsia="ru-RU"/>
          <w14:ligatures w14:val="none"/>
        </w:rPr>
        <w:t>k </w:t>
      </w:r>
      <w:r w:rsidRPr="00FC08E0">
        <w:rPr>
          <w:rFonts w:ascii="Open Sans" w:eastAsia="Times New Roman" w:hAnsi="Open Sans" w:cs="Open Sans"/>
          <w:color w:val="444444"/>
          <w:kern w:val="0"/>
          <w:sz w:val="21"/>
          <w:szCs w:val="21"/>
          <w:lang w:eastAsia="ru-RU"/>
          <w14:ligatures w14:val="none"/>
        </w:rPr>
        <w:t>= l,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0.</w:t>
      </w:r>
    </w:p>
    <w:p w14:paraId="36B1340D" w14:textId="0C5E3228"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noProof/>
          <w:color w:val="444444"/>
          <w:kern w:val="0"/>
          <w:sz w:val="21"/>
          <w:szCs w:val="21"/>
          <w:lang w:eastAsia="ru-RU"/>
          <w14:ligatures w14:val="none"/>
        </w:rPr>
        <w:drawing>
          <wp:inline distT="0" distB="0" distL="0" distR="0" wp14:anchorId="578E76B7" wp14:editId="6B4D37AF">
            <wp:extent cx="2621280" cy="1912620"/>
            <wp:effectExtent l="0" t="0" r="7620" b="0"/>
            <wp:docPr id="1793841377"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21280" cy="19126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Рис. 6.2. Иллюстрация понятия «дефект»: 1, 2, 3 — три дефекта типа «пора» одинакового диаметра; 4 — дефект «скопление пор» (каждая пора того же диаметра, чго и поры 1, 2 и 3)</w:t>
      </w:r>
    </w:p>
    <w:p w14:paraId="4726B19C"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В общем случае дефект любого типа потенциально опасен. Потенциальная опасность проявляется в возможности возникновения из-за дефекта аварийной ситуации в объекте при эксплуатации конструкции. Так как потенциальная опасность дефекта зависит от многих случайных факторов, то возникновение аварийной ситуации из-за дефекта данного типа и размеров является событием случайным. Обозначим это событие через А, а вероятность его наступления Р(А).</w:t>
      </w:r>
      <w:r w:rsidRPr="00FC08E0">
        <w:rPr>
          <w:rFonts w:ascii="Open Sans" w:eastAsia="Times New Roman" w:hAnsi="Open Sans" w:cs="Open Sans"/>
          <w:color w:val="444444"/>
          <w:kern w:val="0"/>
          <w:sz w:val="21"/>
          <w:szCs w:val="21"/>
          <w:lang w:eastAsia="ru-RU"/>
          <w14:ligatures w14:val="none"/>
        </w:rPr>
        <w:br/>
        <w:t>В соответствии с этим потенциальную опасность дефекта будем характеризовать вероятностью Р(А) возникновения аварийной ситуации в объекте из-за дефекта при регламентированных режимах и условиях эксплуатации объекта в течение заданного периода времени, если этот дефект в объекте единственный.</w:t>
      </w:r>
      <w:r w:rsidRPr="00FC08E0">
        <w:rPr>
          <w:rFonts w:ascii="Open Sans" w:eastAsia="Times New Roman" w:hAnsi="Open Sans" w:cs="Open Sans"/>
          <w:color w:val="444444"/>
          <w:kern w:val="0"/>
          <w:sz w:val="21"/>
          <w:szCs w:val="21"/>
          <w:lang w:eastAsia="ru-RU"/>
          <w14:ligatures w14:val="none"/>
        </w:rPr>
        <w:br/>
        <w:t>Очевидно, что дефекты одного и того же типа и размеров будут обладать различной потенциальной опасностью в зависимости от условий эксплуатации объекта; в то же время дефекты различного типа могут иметь в данном объекте одинаковую потенциальную опасность.</w:t>
      </w:r>
      <w:r w:rsidRPr="00FC08E0">
        <w:rPr>
          <w:rFonts w:ascii="Open Sans" w:eastAsia="Times New Roman" w:hAnsi="Open Sans" w:cs="Open Sans"/>
          <w:color w:val="444444"/>
          <w:kern w:val="0"/>
          <w:sz w:val="21"/>
          <w:szCs w:val="21"/>
          <w:lang w:eastAsia="ru-RU"/>
          <w14:ligatures w14:val="none"/>
        </w:rPr>
        <w:br/>
        <w:t>В ряде случаев удобно абстрагироваться от типа и размеров дефектов и дифференцировать дефекты только по их потенциальной опасности Р (А), т.е. по видам (см. § 1.2).</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color w:val="444444"/>
          <w:kern w:val="0"/>
          <w:sz w:val="21"/>
          <w:szCs w:val="21"/>
          <w:lang w:eastAsia="ru-RU"/>
          <w14:ligatures w14:val="none"/>
        </w:rPr>
        <w:lastRenderedPageBreak/>
        <w:t>В объекте могут быть дефекты различного вида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где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 1,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0.</w:t>
      </w:r>
      <w:r w:rsidRPr="00FC08E0">
        <w:rPr>
          <w:rFonts w:ascii="Open Sans" w:eastAsia="Times New Roman" w:hAnsi="Open Sans" w:cs="Open Sans"/>
          <w:color w:val="444444"/>
          <w:kern w:val="0"/>
          <w:sz w:val="21"/>
          <w:szCs w:val="21"/>
          <w:lang w:eastAsia="ru-RU"/>
          <w14:ligatures w14:val="none"/>
        </w:rPr>
        <w:br/>
        <w:t>Заметим, что каждому дефекту вида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независимо от типа i соответствует своя потенциальная опасность Р(А</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Так, два дефекта одного типа, например две поры диаметром </w:t>
      </w:r>
      <w:r w:rsidRPr="00FC08E0">
        <w:rPr>
          <w:rFonts w:ascii="Open Sans" w:eastAsia="Times New Roman" w:hAnsi="Open Sans" w:cs="Open Sans"/>
          <w:i/>
          <w:iCs/>
          <w:color w:val="DD0055"/>
          <w:kern w:val="0"/>
          <w:sz w:val="21"/>
          <w:szCs w:val="21"/>
          <w:lang w:eastAsia="ru-RU"/>
          <w14:ligatures w14:val="none"/>
        </w:rPr>
        <w:t>d</w:t>
      </w:r>
      <w:r w:rsidRPr="00FC08E0">
        <w:rPr>
          <w:rFonts w:ascii="Open Sans" w:eastAsia="Times New Roman" w:hAnsi="Open Sans" w:cs="Open Sans"/>
          <w:color w:val="444444"/>
          <w:kern w:val="0"/>
          <w:sz w:val="21"/>
          <w:szCs w:val="21"/>
          <w:lang w:eastAsia="ru-RU"/>
          <w14:ligatures w14:val="none"/>
        </w:rPr>
        <w:t>, расположенные в объекте на расстоянии </w:t>
      </w:r>
      <w:r w:rsidRPr="00FC08E0">
        <w:rPr>
          <w:rFonts w:ascii="Open Sans" w:eastAsia="Times New Roman" w:hAnsi="Open Sans" w:cs="Open Sans"/>
          <w:i/>
          <w:iCs/>
          <w:color w:val="DD0055"/>
          <w:kern w:val="0"/>
          <w:sz w:val="21"/>
          <w:szCs w:val="21"/>
          <w:lang w:eastAsia="ru-RU"/>
          <w14:ligatures w14:val="none"/>
        </w:rPr>
        <w:t>l</w:t>
      </w:r>
      <w:r w:rsidRPr="00FC08E0">
        <w:rPr>
          <w:rFonts w:ascii="Open Sans" w:eastAsia="Times New Roman" w:hAnsi="Open Sans" w:cs="Open Sans"/>
          <w:color w:val="444444"/>
          <w:kern w:val="0"/>
          <w:sz w:val="21"/>
          <w:szCs w:val="21"/>
          <w:lang w:eastAsia="ru-RU"/>
          <w14:ligatures w14:val="none"/>
        </w:rPr>
        <w:t>&gt;&gt;</w:t>
      </w:r>
      <w:r w:rsidRPr="00FC08E0">
        <w:rPr>
          <w:rFonts w:ascii="Open Sans" w:eastAsia="Times New Roman" w:hAnsi="Open Sans" w:cs="Open Sans"/>
          <w:i/>
          <w:iCs/>
          <w:color w:val="DD0055"/>
          <w:kern w:val="0"/>
          <w:sz w:val="21"/>
          <w:szCs w:val="21"/>
          <w:lang w:eastAsia="ru-RU"/>
          <w14:ligatures w14:val="none"/>
        </w:rPr>
        <w:t>d</w:t>
      </w:r>
      <w:r w:rsidRPr="00FC08E0">
        <w:rPr>
          <w:rFonts w:ascii="Open Sans" w:eastAsia="Times New Roman" w:hAnsi="Open Sans" w:cs="Open Sans"/>
          <w:color w:val="444444"/>
          <w:kern w:val="0"/>
          <w:sz w:val="21"/>
          <w:szCs w:val="21"/>
          <w:lang w:eastAsia="ru-RU"/>
          <w14:ligatures w14:val="none"/>
        </w:rPr>
        <w:t>, должны рассматриваться как два дефекта одного вида (например, первого); если же </w:t>
      </w:r>
      <w:r w:rsidRPr="00FC08E0">
        <w:rPr>
          <w:rFonts w:ascii="Open Sans" w:eastAsia="Times New Roman" w:hAnsi="Open Sans" w:cs="Open Sans"/>
          <w:i/>
          <w:iCs/>
          <w:color w:val="DD0055"/>
          <w:kern w:val="0"/>
          <w:sz w:val="21"/>
          <w:szCs w:val="21"/>
          <w:lang w:eastAsia="ru-RU"/>
          <w14:ligatures w14:val="none"/>
        </w:rPr>
        <w:t>l</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d</w:t>
      </w:r>
      <w:r w:rsidRPr="00FC08E0">
        <w:rPr>
          <w:rFonts w:ascii="Open Sans" w:eastAsia="Times New Roman" w:hAnsi="Open Sans" w:cs="Open Sans"/>
          <w:color w:val="444444"/>
          <w:kern w:val="0"/>
          <w:sz w:val="21"/>
          <w:szCs w:val="21"/>
          <w:lang w:eastAsia="ru-RU"/>
          <w14:ligatures w14:val="none"/>
        </w:rPr>
        <w:t>, то эти же два дефекта одного типа образуют один дефект качественно нового вида с потенциальной опасностью, большей, чем потенциальная опасность каждого из двух упомянутых дефектов первого вида (рис. 6.2).</w:t>
      </w:r>
      <w:r w:rsidRPr="00FC08E0">
        <w:rPr>
          <w:rFonts w:ascii="Open Sans" w:eastAsia="Times New Roman" w:hAnsi="Open Sans" w:cs="Open Sans"/>
          <w:color w:val="444444"/>
          <w:kern w:val="0"/>
          <w:sz w:val="21"/>
          <w:szCs w:val="21"/>
          <w:lang w:eastAsia="ru-RU"/>
          <w14:ligatures w14:val="none"/>
        </w:rPr>
        <w:br/>
        <w:t>Дефекты различного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и дефекты данного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но отличающиеся геометрическими размерами, могут принадлежать к одному виду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Дефект данного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и размеров в зависимости от места расположения по сечению и длине объекта и от условий эксплуатации объекта может быть отнесен к различным видам и Дефекты, потенциальная опасность которых Р(А)®1, принадлежат к виду критических (недопустимых), а если Р(А)®0, то к виду малозначительных (допустимых).[Далее используются обозначения: дефекты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 </w:t>
      </w:r>
      <w:r w:rsidRPr="00FC08E0">
        <w:rPr>
          <w:rFonts w:ascii="Open Sans" w:eastAsia="Times New Roman" w:hAnsi="Open Sans" w:cs="Open Sans"/>
          <w:i/>
          <w:iCs/>
          <w:color w:val="DD0055"/>
          <w:kern w:val="0"/>
          <w:sz w:val="21"/>
          <w:szCs w:val="21"/>
          <w:lang w:eastAsia="ru-RU"/>
          <w14:ligatures w14:val="none"/>
        </w:rPr>
        <w:t>Dk</w:t>
      </w:r>
      <w:r w:rsidRPr="00FC08E0">
        <w:rPr>
          <w:rFonts w:ascii="Open Sans" w:eastAsia="Times New Roman" w:hAnsi="Open Sans" w:cs="Open Sans"/>
          <w:color w:val="444444"/>
          <w:kern w:val="0"/>
          <w:sz w:val="21"/>
          <w:szCs w:val="21"/>
          <w:lang w:eastAsia="ru-RU"/>
          <w14:ligatures w14:val="none"/>
        </w:rPr>
        <w:t>, вида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 </w:t>
      </w:r>
      <w:r w:rsidRPr="00FC08E0">
        <w:rPr>
          <w:rFonts w:ascii="Open Sans" w:eastAsia="Times New Roman" w:hAnsi="Open Sans" w:cs="Open Sans"/>
          <w:i/>
          <w:iCs/>
          <w:color w:val="DD0055"/>
          <w:kern w:val="0"/>
          <w:sz w:val="21"/>
          <w:szCs w:val="21"/>
          <w:lang w:eastAsia="ru-RU"/>
          <w14:ligatures w14:val="none"/>
        </w:rPr>
        <w:t>Di</w:t>
      </w:r>
      <w:r w:rsidRPr="00FC08E0">
        <w:rPr>
          <w:rFonts w:ascii="Open Sans" w:eastAsia="Times New Roman" w:hAnsi="Open Sans" w:cs="Open Sans"/>
          <w:color w:val="444444"/>
          <w:kern w:val="0"/>
          <w:sz w:val="21"/>
          <w:szCs w:val="21"/>
          <w:lang w:eastAsia="ru-RU"/>
          <w14:ligatures w14:val="none"/>
        </w:rPr>
        <w:t>, дефекты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и вида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дефекты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недопустимые — D</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н.]</w:t>
      </w:r>
    </w:p>
    <w:p w14:paraId="3278942D" w14:textId="234DF6E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Таблица 6.1</w:t>
      </w:r>
      <w:r w:rsidRPr="00FC08E0">
        <w:rPr>
          <w:rFonts w:ascii="Open Sans" w:eastAsia="Times New Roman" w:hAnsi="Open Sans" w:cs="Open Sans"/>
          <w:color w:val="444444"/>
          <w:kern w:val="0"/>
          <w:sz w:val="21"/>
          <w:szCs w:val="21"/>
          <w:lang w:eastAsia="ru-RU"/>
          <w14:ligatures w14:val="none"/>
        </w:rPr>
        <w:br/>
        <w:t>Коэффициенты r</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опасности дефектов для стальных стыковых</w:t>
      </w:r>
      <w:r w:rsidRPr="00FC08E0">
        <w:rPr>
          <w:rFonts w:ascii="Open Sans" w:eastAsia="Times New Roman" w:hAnsi="Open Sans" w:cs="Open Sans"/>
          <w:color w:val="444444"/>
          <w:kern w:val="0"/>
          <w:sz w:val="21"/>
          <w:szCs w:val="21"/>
          <w:lang w:eastAsia="ru-RU"/>
          <w14:ligatures w14:val="none"/>
        </w:rPr>
        <w:br/>
        <w:t>сварных соединений, выполненных дуговой сваркой [4]</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0F6D261F" wp14:editId="6F54CD1E">
            <wp:extent cx="4724400" cy="2423160"/>
            <wp:effectExtent l="0" t="0" r="0" b="0"/>
            <wp:docPr id="598909792"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24400" cy="2423160"/>
                    </a:xfrm>
                    <a:prstGeom prst="rect">
                      <a:avLst/>
                    </a:prstGeom>
                    <a:noFill/>
                    <a:ln>
                      <a:noFill/>
                    </a:ln>
                  </pic:spPr>
                </pic:pic>
              </a:graphicData>
            </a:graphic>
          </wp:inline>
        </w:drawing>
      </w:r>
    </w:p>
    <w:p w14:paraId="56D94868" w14:textId="314D5E95"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Деление дефектов на два вида «допустимые» и «недопустимые» весьма условно и экономически убыточно. Так, в пролетных строениях мостов одиночные поры диаметром 1,6 мм в швах толщиной 40 мм — дефекты допустимые, а более 1,6 мм (например, 1,601 мм) — дефекты недопустимые, подлежащие исправлению. В то же время установление числовых значений P(A</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потенциальной опасности дефектов различного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весьма трудоемкая и во многих случаях нерешаемая задача. Приближенные (условные) значения потенциальной опасности P*(A</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дефектов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достаточные для выбора системы НК, можно определить по соотношению</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695C2C5B" wp14:editId="026D2C69">
            <wp:extent cx="1287780" cy="236220"/>
            <wp:effectExtent l="0" t="0" r="7620" b="0"/>
            <wp:docPr id="342139308"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8778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(6.2)</w:t>
      </w:r>
      <w:r w:rsidRPr="00FC08E0">
        <w:rPr>
          <w:rFonts w:ascii="Open Sans" w:eastAsia="Times New Roman" w:hAnsi="Open Sans" w:cs="Open Sans"/>
          <w:color w:val="444444"/>
          <w:kern w:val="0"/>
          <w:sz w:val="21"/>
          <w:szCs w:val="21"/>
          <w:lang w:eastAsia="ru-RU"/>
          <w14:ligatures w14:val="none"/>
        </w:rPr>
        <w:br/>
        <w:t>где Рт*(А) — условная потенциальная опасность наиболее опасного дефекта (трещины), принимая равной Рт*(А) = 0,99...0,9999; </w:t>
      </w:r>
      <w:r w:rsidRPr="00FC08E0">
        <w:rPr>
          <w:rFonts w:ascii="Open Sans" w:eastAsia="Times New Roman" w:hAnsi="Open Sans" w:cs="Open Sans"/>
          <w:i/>
          <w:iCs/>
          <w:color w:val="DD0055"/>
          <w:kern w:val="0"/>
          <w:sz w:val="21"/>
          <w:szCs w:val="21"/>
          <w:lang w:eastAsia="ru-RU"/>
          <w14:ligatures w14:val="none"/>
        </w:rPr>
        <w:t>rk</w:t>
      </w:r>
      <w:r w:rsidRPr="00FC08E0">
        <w:rPr>
          <w:rFonts w:ascii="Open Sans" w:eastAsia="Times New Roman" w:hAnsi="Open Sans" w:cs="Open Sans"/>
          <w:color w:val="444444"/>
          <w:kern w:val="0"/>
          <w:sz w:val="21"/>
          <w:szCs w:val="21"/>
          <w:lang w:eastAsia="ru-RU"/>
          <w14:ligatures w14:val="none"/>
        </w:rPr>
        <w:t> и </w:t>
      </w:r>
      <w:r w:rsidRPr="00FC08E0">
        <w:rPr>
          <w:rFonts w:ascii="Open Sans" w:eastAsia="Times New Roman" w:hAnsi="Open Sans" w:cs="Open Sans"/>
          <w:i/>
          <w:iCs/>
          <w:color w:val="DD0055"/>
          <w:kern w:val="0"/>
          <w:sz w:val="21"/>
          <w:szCs w:val="21"/>
          <w:lang w:eastAsia="ru-RU"/>
          <w14:ligatures w14:val="none"/>
        </w:rPr>
        <w:t>r</w:t>
      </w:r>
      <w:r w:rsidRPr="00FC08E0">
        <w:rPr>
          <w:rFonts w:ascii="Open Sans" w:eastAsia="Times New Roman" w:hAnsi="Open Sans" w:cs="Open Sans"/>
          <w:color w:val="444444"/>
          <w:kern w:val="0"/>
          <w:sz w:val="21"/>
          <w:szCs w:val="21"/>
          <w:lang w:eastAsia="ru-RU"/>
          <w14:ligatures w14:val="none"/>
        </w:rPr>
        <w:t>т — коэффициенты опасности дефектов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и трещины соответственно. Ориентировочные значения </w:t>
      </w:r>
      <w:r w:rsidRPr="00FC08E0">
        <w:rPr>
          <w:rFonts w:ascii="Open Sans" w:eastAsia="Times New Roman" w:hAnsi="Open Sans" w:cs="Open Sans"/>
          <w:i/>
          <w:iCs/>
          <w:color w:val="DD0055"/>
          <w:kern w:val="0"/>
          <w:sz w:val="21"/>
          <w:szCs w:val="21"/>
          <w:lang w:eastAsia="ru-RU"/>
          <w14:ligatures w14:val="none"/>
        </w:rPr>
        <w:t>rk</w:t>
      </w:r>
      <w:r w:rsidRPr="00FC08E0">
        <w:rPr>
          <w:rFonts w:ascii="Open Sans" w:eastAsia="Times New Roman" w:hAnsi="Open Sans" w:cs="Open Sans"/>
          <w:color w:val="444444"/>
          <w:kern w:val="0"/>
          <w:sz w:val="21"/>
          <w:szCs w:val="21"/>
          <w:lang w:eastAsia="ru-RU"/>
          <w14:ligatures w14:val="none"/>
        </w:rPr>
        <w:t> и </w:t>
      </w:r>
      <w:r w:rsidRPr="00FC08E0">
        <w:rPr>
          <w:rFonts w:ascii="Open Sans" w:eastAsia="Times New Roman" w:hAnsi="Open Sans" w:cs="Open Sans"/>
          <w:i/>
          <w:iCs/>
          <w:color w:val="DD0055"/>
          <w:kern w:val="0"/>
          <w:sz w:val="21"/>
          <w:szCs w:val="21"/>
          <w:lang w:eastAsia="ru-RU"/>
          <w14:ligatures w14:val="none"/>
        </w:rPr>
        <w:t>r</w:t>
      </w:r>
      <w:r w:rsidRPr="00FC08E0">
        <w:rPr>
          <w:rFonts w:ascii="Open Sans" w:eastAsia="Times New Roman" w:hAnsi="Open Sans" w:cs="Open Sans"/>
          <w:color w:val="444444"/>
          <w:kern w:val="0"/>
          <w:sz w:val="21"/>
          <w:szCs w:val="21"/>
          <w:lang w:eastAsia="ru-RU"/>
          <w14:ligatures w14:val="none"/>
        </w:rPr>
        <w:t>т приведены в табл. 6.1.</w:t>
      </w:r>
      <w:r w:rsidRPr="00FC08E0">
        <w:rPr>
          <w:rFonts w:ascii="Open Sans" w:eastAsia="Times New Roman" w:hAnsi="Open Sans" w:cs="Open Sans"/>
          <w:color w:val="444444"/>
          <w:kern w:val="0"/>
          <w:sz w:val="21"/>
          <w:szCs w:val="21"/>
          <w:lang w:eastAsia="ru-RU"/>
          <w14:ligatures w14:val="none"/>
        </w:rPr>
        <w:br/>
        <w:t>При любом методе НК о дефектах судят по косвенным признакам (характеристикам), свойственным данному методу. Некоторые признаки поддаются измерению, результаты которых используются для идентификации дефектов.</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color w:val="444444"/>
          <w:kern w:val="0"/>
          <w:sz w:val="21"/>
          <w:szCs w:val="21"/>
          <w:lang w:eastAsia="ru-RU"/>
          <w14:ligatures w14:val="none"/>
        </w:rPr>
        <w:lastRenderedPageBreak/>
        <w:t>Величины, измеряемые данным методом и позволяющие с определенной достоверностью оценивать образ дефектов и идентифицировать их прежде всего по видам (на допустимые и недопустимые), образуют измеряемые характеристики дефектов. Например, к измеряемым характеристикам при ультразвуковом эхо-методе относят эквивалентную площадь дефекта или максимальную амплитуду эхосигнала от него, координаты расположения и условные размеры дефекта и др. Таким образом, следует различать три группы характеристик дефекта: технологические, эксплуатационные и дефектоскопические (рис. 6.3).</w:t>
      </w:r>
    </w:p>
    <w:p w14:paraId="68BB9140" w14:textId="1C8D46E4"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noProof/>
          <w:color w:val="444444"/>
          <w:kern w:val="0"/>
          <w:sz w:val="21"/>
          <w:szCs w:val="21"/>
          <w:lang w:eastAsia="ru-RU"/>
          <w14:ligatures w14:val="none"/>
        </w:rPr>
        <w:drawing>
          <wp:inline distT="0" distB="0" distL="0" distR="0" wp14:anchorId="101E88A3" wp14:editId="68F510AA">
            <wp:extent cx="3154680" cy="1508760"/>
            <wp:effectExtent l="0" t="0" r="7620" b="0"/>
            <wp:docPr id="1672010825"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54680" cy="150876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Рис. 6.3. Классификация характеристик дефектов</w:t>
      </w:r>
    </w:p>
    <w:p w14:paraId="7EC02B6C" w14:textId="0A55874E"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Измеряемую характеристику дефекта, по значению которой принимают решение об отсутствии или о возможном обнаружении дефекта, называют главной измеряемой характеристикой дефекта, а значение этой характеристики для данного дефекта — характеристическим размером дефекта. При контроле каждый дефект независимо от его вида или типа выступает как несплошность с конкретным характеристическим размером S.</w:t>
      </w:r>
      <w:r w:rsidRPr="00FC08E0">
        <w:rPr>
          <w:rFonts w:ascii="Open Sans" w:eastAsia="Times New Roman" w:hAnsi="Open Sans" w:cs="Open Sans"/>
          <w:color w:val="444444"/>
          <w:kern w:val="0"/>
          <w:sz w:val="21"/>
          <w:szCs w:val="21"/>
          <w:lang w:eastAsia="ru-RU"/>
          <w14:ligatures w14:val="none"/>
        </w:rPr>
        <w:br/>
        <w:t>В объектах, изготовляемых или эксплуатируемых по установившейся технологии, значения S</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подлежащих выявлению, практически однотипных и равновеликих, лежат в некотором интервале, что обусловлено большим числом случайных факторов, и подчиняются гауссовскому закону распределения (см. гл. 2) с плотностью вероятности φ</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(S), центром рассеивания Ŝ</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и средним квадратическим отклонением σ</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(рис. 6.4). В связи с этим вероятность </w:t>
      </w:r>
      <w:r w:rsidRPr="00FC08E0">
        <w:rPr>
          <w:rFonts w:ascii="Open Sans" w:eastAsia="Times New Roman" w:hAnsi="Open Sans" w:cs="Open Sans"/>
          <w:i/>
          <w:iCs/>
          <w:color w:val="DD0055"/>
          <w:kern w:val="0"/>
          <w:sz w:val="21"/>
          <w:szCs w:val="21"/>
          <w:lang w:eastAsia="ru-RU"/>
          <w14:ligatures w14:val="none"/>
        </w:rPr>
        <w:t>Рki</w:t>
      </w:r>
      <w:r w:rsidRPr="00FC08E0">
        <w:rPr>
          <w:rFonts w:ascii="Open Sans" w:eastAsia="Times New Roman" w:hAnsi="Open Sans" w:cs="Open Sans"/>
          <w:color w:val="444444"/>
          <w:kern w:val="0"/>
          <w:sz w:val="21"/>
          <w:szCs w:val="21"/>
          <w:lang w:eastAsia="ru-RU"/>
          <w14:ligatures w14:val="none"/>
        </w:rPr>
        <w:t>(S</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&gt;S0) того, что значения характеристического размера S</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превышают заданное S0, составит</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7E6C8611" wp14:editId="668B5555">
            <wp:extent cx="2461260" cy="586740"/>
            <wp:effectExtent l="0" t="0" r="0" b="3810"/>
            <wp:docPr id="1089276038"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61260" cy="58674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Величины Ŝ</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и σ</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предопределяют различие в выявляемости однотипных дефектов, а следовательно, и контролепригодность объектов.</w:t>
      </w:r>
    </w:p>
    <w:p w14:paraId="2D4ED302" w14:textId="20CE92D4"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noProof/>
          <w:color w:val="444444"/>
          <w:kern w:val="0"/>
          <w:sz w:val="21"/>
          <w:szCs w:val="21"/>
          <w:lang w:eastAsia="ru-RU"/>
          <w14:ligatures w14:val="none"/>
        </w:rPr>
        <w:drawing>
          <wp:inline distT="0" distB="0" distL="0" distR="0" wp14:anchorId="24602480" wp14:editId="30CC1857">
            <wp:extent cx="2887980" cy="1028700"/>
            <wp:effectExtent l="0" t="0" r="7620" b="0"/>
            <wp:docPr id="2110005778"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87980" cy="102870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Рис. 6.4. Плотность распределения φ</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характеристического размера S</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дефектов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вида «допустимые»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 д) и «недопустимые»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 н)</w:t>
      </w:r>
    </w:p>
    <w:p w14:paraId="4401C878" w14:textId="39C9F07E"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Образование дефектов в объекте при установившемся технологическом процессе следует рассматривать как поток случайных событий. Поэтому дефектность объектов, т.е. степень поврежденности их дефектами, описывают совокупностью вероятностей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y(</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числа </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дефектов различного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и/или вида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где </w:t>
      </w:r>
      <w:r w:rsidRPr="00FC08E0">
        <w:rPr>
          <w:rFonts w:ascii="Open Sans" w:eastAsia="Times New Roman" w:hAnsi="Open Sans" w:cs="Open Sans"/>
          <w:i/>
          <w:iCs/>
          <w:color w:val="DD0055"/>
          <w:kern w:val="0"/>
          <w:sz w:val="21"/>
          <w:szCs w:val="21"/>
          <w:lang w:eastAsia="ru-RU"/>
          <w14:ligatures w14:val="none"/>
        </w:rPr>
        <w:t>y</w:t>
      </w:r>
      <w:r w:rsidRPr="00FC08E0">
        <w:rPr>
          <w:rFonts w:ascii="Open Sans" w:eastAsia="Times New Roman" w:hAnsi="Open Sans" w:cs="Open Sans"/>
          <w:color w:val="444444"/>
          <w:kern w:val="0"/>
          <w:sz w:val="21"/>
          <w:szCs w:val="21"/>
          <w:lang w:eastAsia="ru-RU"/>
          <w14:ligatures w14:val="none"/>
        </w:rPr>
        <w:t> =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 0,</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y0;</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lastRenderedPageBreak/>
        <w:drawing>
          <wp:inline distT="0" distB="0" distL="0" distR="0" wp14:anchorId="176512C0" wp14:editId="0E10E911">
            <wp:extent cx="800100" cy="457200"/>
            <wp:effectExtent l="0" t="0" r="0" b="0"/>
            <wp:docPr id="936923885"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00100" cy="45720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(рис. 6.5). Тогда вероятность наличия в объекте хотя бы одного дефекта </w:t>
      </w:r>
      <w:r w:rsidRPr="00FC08E0">
        <w:rPr>
          <w:rFonts w:ascii="Open Sans" w:eastAsia="Times New Roman" w:hAnsi="Open Sans" w:cs="Open Sans"/>
          <w:i/>
          <w:iCs/>
          <w:color w:val="DD0055"/>
          <w:kern w:val="0"/>
          <w:sz w:val="21"/>
          <w:szCs w:val="21"/>
          <w:lang w:eastAsia="ru-RU"/>
          <w14:ligatures w14:val="none"/>
        </w:rPr>
        <w:t>Dy</w:t>
      </w:r>
      <w:r w:rsidRPr="00FC08E0">
        <w:rPr>
          <w:rFonts w:ascii="Open Sans" w:eastAsia="Times New Roman" w:hAnsi="Open Sans" w:cs="Open Sans"/>
          <w:color w:val="444444"/>
          <w:kern w:val="0"/>
          <w:sz w:val="21"/>
          <w:szCs w:val="21"/>
          <w:lang w:eastAsia="ru-RU"/>
          <w14:ligatures w14:val="none"/>
        </w:rPr>
        <w:t> определяется суммой </w:t>
      </w:r>
      <w:r w:rsidRPr="00FC08E0">
        <w:rPr>
          <w:rFonts w:ascii="Open Sans" w:eastAsia="Times New Roman" w:hAnsi="Open Sans" w:cs="Open Sans"/>
          <w:noProof/>
          <w:color w:val="444444"/>
          <w:kern w:val="0"/>
          <w:sz w:val="21"/>
          <w:szCs w:val="21"/>
          <w:lang w:eastAsia="ru-RU"/>
          <w14:ligatures w14:val="none"/>
        </w:rPr>
        <w:drawing>
          <wp:inline distT="0" distB="0" distL="0" distR="0" wp14:anchorId="1B8D17D5" wp14:editId="666B247B">
            <wp:extent cx="601980" cy="457200"/>
            <wp:effectExtent l="0" t="0" r="7620" b="0"/>
            <wp:docPr id="502408052"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1980" cy="45720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а вероятность невозникновения дефекта соответствует значению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y(0).</w:t>
      </w:r>
      <w:r w:rsidRPr="00FC08E0">
        <w:rPr>
          <w:rFonts w:ascii="Open Sans" w:eastAsia="Times New Roman" w:hAnsi="Open Sans" w:cs="Open Sans"/>
          <w:color w:val="444444"/>
          <w:kern w:val="0"/>
          <w:sz w:val="21"/>
          <w:szCs w:val="21"/>
          <w:lang w:eastAsia="ru-RU"/>
          <w14:ligatures w14:val="none"/>
        </w:rPr>
        <w:br/>
        <w:t>Эти распределения должны рассчитываться применительно к объекту в целом или к участку определенной заданной длины протяженного объекта, например сварного соединения. За длину участка целесообразно брать длину оценочного участка, используемого при классификации объектов по уровню дефектности [4]. Так, для сварных соединений за длину оценочного участка берут длину рентгеноснимка (300 ... 400 мм) [4]. При построении распределений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используют данные НК, металлографических и фрактографических (осмотр изломов) исследований объектбв.</w:t>
      </w:r>
      <w:r w:rsidRPr="00FC08E0">
        <w:rPr>
          <w:rFonts w:ascii="Open Sans" w:eastAsia="Times New Roman" w:hAnsi="Open Sans" w:cs="Open Sans"/>
          <w:color w:val="444444"/>
          <w:kern w:val="0"/>
          <w:sz w:val="21"/>
          <w:szCs w:val="21"/>
          <w:lang w:eastAsia="ru-RU"/>
          <w14:ligatures w14:val="none"/>
        </w:rPr>
        <w:br/>
        <w:t>Плотность вероятности φ</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b</w:t>
      </w:r>
      <w:r w:rsidRPr="00FC08E0">
        <w:rPr>
          <w:rFonts w:ascii="Open Sans" w:eastAsia="Times New Roman" w:hAnsi="Open Sans" w:cs="Open Sans"/>
          <w:color w:val="444444"/>
          <w:kern w:val="0"/>
          <w:sz w:val="21"/>
          <w:szCs w:val="21"/>
          <w:lang w:eastAsia="ru-RU"/>
          <w14:ligatures w14:val="none"/>
        </w:rPr>
        <w:t>) образования большинства дефектов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размером </w:t>
      </w:r>
      <w:r w:rsidRPr="00FC08E0">
        <w:rPr>
          <w:rFonts w:ascii="Open Sans" w:eastAsia="Times New Roman" w:hAnsi="Open Sans" w:cs="Open Sans"/>
          <w:i/>
          <w:iCs/>
          <w:color w:val="DD0055"/>
          <w:kern w:val="0"/>
          <w:sz w:val="21"/>
          <w:szCs w:val="21"/>
          <w:lang w:eastAsia="ru-RU"/>
          <w14:ligatures w14:val="none"/>
        </w:rPr>
        <w:t>b</w:t>
      </w:r>
      <w:r w:rsidRPr="00FC08E0">
        <w:rPr>
          <w:rFonts w:ascii="Open Sans" w:eastAsia="Times New Roman" w:hAnsi="Open Sans" w:cs="Open Sans"/>
          <w:color w:val="444444"/>
          <w:kern w:val="0"/>
          <w:sz w:val="21"/>
          <w:szCs w:val="21"/>
          <w:lang w:eastAsia="ru-RU"/>
          <w14:ligatures w14:val="none"/>
        </w:rPr>
        <w:t> в объектах удовлетворительно описывается экспоненциальным законом.</w:t>
      </w:r>
      <w:r w:rsidRPr="00FC08E0">
        <w:rPr>
          <w:rFonts w:ascii="Open Sans" w:eastAsia="Times New Roman" w:hAnsi="Open Sans" w:cs="Open Sans"/>
          <w:color w:val="444444"/>
          <w:kern w:val="0"/>
          <w:sz w:val="21"/>
          <w:szCs w:val="21"/>
          <w:lang w:eastAsia="ru-RU"/>
          <w14:ligatures w14:val="none"/>
        </w:rPr>
        <w:br/>
        <w:t>Таким образом, объект контроля может быть представлен в виде объема, в котором случайным образом расположены дефекты различного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и вида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и достаточно полно описан совокупностью распределений дефектов </w:t>
      </w:r>
      <w:r w:rsidRPr="00FC08E0">
        <w:rPr>
          <w:rFonts w:ascii="Open Sans" w:eastAsia="Times New Roman" w:hAnsi="Open Sans" w:cs="Open Sans"/>
          <w:i/>
          <w:iCs/>
          <w:color w:val="DD0055"/>
          <w:kern w:val="0"/>
          <w:sz w:val="21"/>
          <w:szCs w:val="21"/>
          <w:lang w:eastAsia="ru-RU"/>
          <w14:ligatures w14:val="none"/>
        </w:rPr>
        <w:t>fki</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и совокупностью распределений φ(</w:t>
      </w:r>
      <w:r w:rsidRPr="00FC08E0">
        <w:rPr>
          <w:rFonts w:ascii="Open Sans" w:eastAsia="Times New Roman" w:hAnsi="Open Sans" w:cs="Open Sans"/>
          <w:i/>
          <w:iCs/>
          <w:color w:val="DD0055"/>
          <w:kern w:val="0"/>
          <w:sz w:val="21"/>
          <w:szCs w:val="21"/>
          <w:lang w:eastAsia="ru-RU"/>
          <w14:ligatures w14:val="none"/>
        </w:rPr>
        <w:t>b</w:t>
      </w:r>
      <w:r w:rsidRPr="00FC08E0">
        <w:rPr>
          <w:rFonts w:ascii="Open Sans" w:eastAsia="Times New Roman" w:hAnsi="Open Sans" w:cs="Open Sans"/>
          <w:color w:val="444444"/>
          <w:kern w:val="0"/>
          <w:sz w:val="21"/>
          <w:szCs w:val="21"/>
          <w:lang w:eastAsia="ru-RU"/>
          <w14:ligatures w14:val="none"/>
        </w:rPr>
        <w:t>), где </w:t>
      </w:r>
      <w:r w:rsidRPr="00FC08E0">
        <w:rPr>
          <w:rFonts w:ascii="Open Sans" w:eastAsia="Times New Roman" w:hAnsi="Open Sans" w:cs="Open Sans"/>
          <w:i/>
          <w:iCs/>
          <w:color w:val="DD0055"/>
          <w:kern w:val="0"/>
          <w:sz w:val="21"/>
          <w:szCs w:val="21"/>
          <w:lang w:eastAsia="ru-RU"/>
          <w14:ligatures w14:val="none"/>
        </w:rPr>
        <w:t>k </w:t>
      </w:r>
      <w:r w:rsidRPr="00FC08E0">
        <w:rPr>
          <w:rFonts w:ascii="Open Sans" w:eastAsia="Times New Roman" w:hAnsi="Open Sans" w:cs="Open Sans"/>
          <w:color w:val="444444"/>
          <w:kern w:val="0"/>
          <w:sz w:val="21"/>
          <w:szCs w:val="21"/>
          <w:lang w:eastAsia="ru-RU"/>
          <w14:ligatures w14:val="none"/>
        </w:rPr>
        <w:t>= 1,</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0, 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 1,</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0, 0&lt;b£b</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max, m = 1, m</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0.</w:t>
      </w:r>
      <w:r w:rsidRPr="00FC08E0">
        <w:rPr>
          <w:rFonts w:ascii="Open Sans" w:eastAsia="Times New Roman" w:hAnsi="Open Sans" w:cs="Open Sans"/>
          <w:color w:val="444444"/>
          <w:kern w:val="0"/>
          <w:sz w:val="21"/>
          <w:szCs w:val="21"/>
          <w:lang w:eastAsia="ru-RU"/>
          <w14:ligatures w14:val="none"/>
        </w:rPr>
        <w:br/>
        <w:t>Эти распределения характеризуют только уровень установившихся технологических процессов изготовления или эксплуатации объектов без учета потенциальной опасности дефектов, но не их надежность.</w:t>
      </w:r>
    </w:p>
    <w:p w14:paraId="13748E25" w14:textId="0F341CC6"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4" w:name="_Toc322119681"/>
      <w:bookmarkStart w:id="5" w:name="_Toc191278236"/>
      <w:bookmarkEnd w:id="4"/>
      <w:r w:rsidRPr="00FC08E0">
        <w:rPr>
          <w:rFonts w:ascii="Open Sans" w:eastAsia="Times New Roman" w:hAnsi="Open Sans" w:cs="Open Sans"/>
          <w:color w:val="1FA2D6"/>
          <w:kern w:val="0"/>
          <w:sz w:val="21"/>
          <w:szCs w:val="21"/>
          <w:lang w:eastAsia="ru-RU"/>
          <w14:ligatures w14:val="none"/>
        </w:rPr>
        <w:t>§ 6.3. Надежность технологических процессов</w:t>
      </w:r>
      <w:bookmarkEnd w:id="5"/>
      <w:r w:rsidRPr="00FC08E0">
        <w:rPr>
          <w:rFonts w:ascii="Open Sans" w:eastAsia="Times New Roman" w:hAnsi="Open Sans" w:cs="Open Sans"/>
          <w:color w:val="444444"/>
          <w:kern w:val="0"/>
          <w:sz w:val="21"/>
          <w:szCs w:val="21"/>
          <w:lang w:eastAsia="ru-RU"/>
          <w14:ligatures w14:val="none"/>
        </w:rPr>
        <w:br/>
        <w:t>Наиболее частой причиной снижения надежности являются потенциально опасные дефекты в объекте. В качестве показателя надежности объекта и технологического процесса его изготовления удобно использовать вероятность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которая показывает, что за заданный период времени при регламентированных режимах работы и условиях эксплуатации в объекте невозникнет аварийная ситуация.</w:t>
      </w:r>
      <w:r w:rsidRPr="00FC08E0">
        <w:rPr>
          <w:rFonts w:ascii="Open Sans" w:eastAsia="Times New Roman" w:hAnsi="Open Sans" w:cs="Open Sans"/>
          <w:color w:val="444444"/>
          <w:kern w:val="0"/>
          <w:sz w:val="21"/>
          <w:szCs w:val="21"/>
          <w:lang w:eastAsia="ru-RU"/>
          <w14:ligatures w14:val="none"/>
        </w:rPr>
        <w:br/>
        <w:t>Вероятность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безотказной работы объекта до контроля, если в нем имеется один-единственный дефект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согласно введенному в § 6.2 определению потенциальной опасности дефекта Р(А</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равна</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0ED8162E" wp14:editId="6F0E35D5">
            <wp:extent cx="1630680" cy="236220"/>
            <wp:effectExtent l="0" t="0" r="7620" b="0"/>
            <wp:docPr id="598484403"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30680" cy="236220"/>
                    </a:xfrm>
                    <a:prstGeom prst="rect">
                      <a:avLst/>
                    </a:prstGeom>
                    <a:noFill/>
                    <a:ln>
                      <a:noFill/>
                    </a:ln>
                  </pic:spPr>
                </pic:pic>
              </a:graphicData>
            </a:graphic>
          </wp:inline>
        </w:drawing>
      </w:r>
    </w:p>
    <w:p w14:paraId="797DE027" w14:textId="392504B1"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noProof/>
          <w:color w:val="444444"/>
          <w:kern w:val="0"/>
          <w:sz w:val="21"/>
          <w:szCs w:val="21"/>
          <w:lang w:eastAsia="ru-RU"/>
          <w14:ligatures w14:val="none"/>
        </w:rPr>
        <w:drawing>
          <wp:inline distT="0" distB="0" distL="0" distR="0" wp14:anchorId="12D7A759" wp14:editId="560FD9D8">
            <wp:extent cx="449580" cy="236220"/>
            <wp:effectExtent l="0" t="0" r="7620" b="0"/>
            <wp:docPr id="124453938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958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 вероятность невозникновения аварийной ситуации.]</w:t>
      </w:r>
      <w:r w:rsidRPr="00FC08E0">
        <w:rPr>
          <w:rFonts w:ascii="Open Sans" w:eastAsia="Times New Roman" w:hAnsi="Open Sans" w:cs="Open Sans"/>
          <w:color w:val="444444"/>
          <w:kern w:val="0"/>
          <w:sz w:val="21"/>
          <w:szCs w:val="21"/>
          <w:lang w:eastAsia="ru-RU"/>
          <w14:ligatures w14:val="none"/>
        </w:rPr>
        <w:br/>
        <w:t>Если в объекте m</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0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то вероятность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будет вероятностью того, что в объекте не наступит аварийная ситуация из-за первого, второго и т.д. дефектов. В связи с этим вероятность </w:t>
      </w:r>
      <w:r w:rsidRPr="00FC08E0">
        <w:rPr>
          <w:rFonts w:ascii="Open Sans" w:eastAsia="Times New Roman" w:hAnsi="Open Sans" w:cs="Open Sans"/>
          <w:i/>
          <w:iCs/>
          <w:color w:val="DD0055"/>
          <w:kern w:val="0"/>
          <w:sz w:val="21"/>
          <w:szCs w:val="21"/>
          <w:lang w:eastAsia="ru-RU"/>
          <w14:ligatures w14:val="none"/>
        </w:rPr>
        <w:t>H</w:t>
      </w:r>
      <w:r w:rsidRPr="00FC08E0">
        <w:rPr>
          <w:rFonts w:ascii="Open Sans" w:eastAsia="Times New Roman" w:hAnsi="Open Sans" w:cs="Open Sans"/>
          <w:color w:val="444444"/>
          <w:kern w:val="0"/>
          <w:sz w:val="21"/>
          <w:szCs w:val="21"/>
          <w:lang w:eastAsia="ru-RU"/>
          <w14:ligatures w14:val="none"/>
        </w:rPr>
        <w:t>0 при числе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равном m</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0, составит</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763BC37E" wp14:editId="1F1E7400">
            <wp:extent cx="1257300" cy="236220"/>
            <wp:effectExtent l="0" t="0" r="0" b="0"/>
            <wp:docPr id="1727704269"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5730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(6.3)</w:t>
      </w:r>
    </w:p>
    <w:p w14:paraId="6D0D39A4" w14:textId="0DD29FC1"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noProof/>
          <w:color w:val="444444"/>
          <w:kern w:val="0"/>
          <w:sz w:val="21"/>
          <w:szCs w:val="21"/>
          <w:lang w:eastAsia="ru-RU"/>
          <w14:ligatures w14:val="none"/>
        </w:rPr>
        <w:lastRenderedPageBreak/>
        <w:drawing>
          <wp:inline distT="0" distB="0" distL="0" distR="0" wp14:anchorId="6DC7A185" wp14:editId="5E8E229C">
            <wp:extent cx="3893820" cy="2987040"/>
            <wp:effectExtent l="0" t="0" r="0" b="3810"/>
            <wp:docPr id="408422972"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93820" cy="298704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Рис. 6.5. Распределения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числа </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дефектов в стыковых соединениях при изготовлении металлоконструкций на одном из заводов (построены по результатам НК 38477 участков соединений): а — трещин, б — непроваров, в — одиночных пор и шлаковых включений, превышающих по размерам максимально допустимых, г — то же, равных или меньших по размерам максимально допустимых</w:t>
      </w:r>
    </w:p>
    <w:p w14:paraId="2F6943FD" w14:textId="29827290"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При установившемся технологическом процессе, когда его можно рассматривать как стационарный, образование некоторого числа </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в объекте задается распределением вероятностей </w:t>
      </w:r>
      <w:r w:rsidRPr="00FC08E0">
        <w:rPr>
          <w:rFonts w:ascii="Open Sans" w:eastAsia="Times New Roman" w:hAnsi="Open Sans" w:cs="Open Sans"/>
          <w:i/>
          <w:iCs/>
          <w:color w:val="DD0055"/>
          <w:kern w:val="0"/>
          <w:sz w:val="21"/>
          <w:szCs w:val="21"/>
          <w:lang w:eastAsia="ru-RU"/>
          <w14:ligatures w14:val="none"/>
        </w:rPr>
        <w:t>fki</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В каждом, объекте может быть только одно конкретное число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Вероятность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безотказной работы объекта при наличии одного, двух или трех и т.д. дефектов одного типа и вида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равна сумме вероятностей безотказной работы при наличии какого-то одного числа </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т.е. согласно (6.3)</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1E8C6920" wp14:editId="1808ED40">
            <wp:extent cx="1714500" cy="449580"/>
            <wp:effectExtent l="0" t="0" r="0" b="7620"/>
            <wp:docPr id="616079111"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14500" cy="44958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(6.4)</w:t>
      </w:r>
    </w:p>
    <w:tbl>
      <w:tblPr>
        <w:tblW w:w="0" w:type="auto"/>
        <w:shd w:val="clear" w:color="auto" w:fill="FFFFFF"/>
        <w:tblCellMar>
          <w:left w:w="0" w:type="dxa"/>
          <w:right w:w="0" w:type="dxa"/>
        </w:tblCellMar>
        <w:tblLook w:val="04A0" w:firstRow="1" w:lastRow="0" w:firstColumn="1" w:lastColumn="0" w:noHBand="0" w:noVBand="1"/>
      </w:tblPr>
      <w:tblGrid>
        <w:gridCol w:w="4894"/>
        <w:gridCol w:w="4461"/>
      </w:tblGrid>
      <w:tr w:rsidR="00FC08E0" w:rsidRPr="00FC08E0" w14:paraId="7C224491" w14:textId="77777777" w:rsidTr="00FC08E0">
        <w:tc>
          <w:tcPr>
            <w:tcW w:w="5205" w:type="dxa"/>
            <w:shd w:val="clear" w:color="auto" w:fill="FFFFFF"/>
            <w:vAlign w:val="center"/>
            <w:hideMark/>
          </w:tcPr>
          <w:p w14:paraId="7461FAAD" w14:textId="4BA2A008"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noProof/>
                <w:color w:val="444444"/>
                <w:kern w:val="0"/>
                <w:sz w:val="21"/>
                <w:szCs w:val="21"/>
                <w:lang w:eastAsia="ru-RU"/>
                <w14:ligatures w14:val="none"/>
              </w:rPr>
              <w:drawing>
                <wp:inline distT="0" distB="0" distL="0" distR="0" wp14:anchorId="0BA9A335" wp14:editId="397153A4">
                  <wp:extent cx="2857500" cy="2278380"/>
                  <wp:effectExtent l="0" t="0" r="0" b="7620"/>
                  <wp:docPr id="234230783"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57500" cy="2278380"/>
                          </a:xfrm>
                          <a:prstGeom prst="rect">
                            <a:avLst/>
                          </a:prstGeom>
                          <a:noFill/>
                          <a:ln>
                            <a:noFill/>
                          </a:ln>
                        </pic:spPr>
                      </pic:pic>
                    </a:graphicData>
                  </a:graphic>
                </wp:inline>
              </w:drawing>
            </w:r>
          </w:p>
        </w:tc>
        <w:tc>
          <w:tcPr>
            <w:tcW w:w="5205" w:type="dxa"/>
            <w:shd w:val="clear" w:color="auto" w:fill="FFFFFF"/>
            <w:vAlign w:val="center"/>
            <w:hideMark/>
          </w:tcPr>
          <w:p w14:paraId="6DDAC0C5" w14:textId="179D670C"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noProof/>
                <w:color w:val="444444"/>
                <w:kern w:val="0"/>
                <w:sz w:val="21"/>
                <w:szCs w:val="21"/>
                <w:lang w:eastAsia="ru-RU"/>
                <w14:ligatures w14:val="none"/>
              </w:rPr>
              <w:drawing>
                <wp:inline distT="0" distB="0" distL="0" distR="0" wp14:anchorId="05E6CCAC" wp14:editId="6028C86A">
                  <wp:extent cx="2232660" cy="2293620"/>
                  <wp:effectExtent l="0" t="0" r="0" b="0"/>
                  <wp:docPr id="877709046"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32660" cy="2293620"/>
                          </a:xfrm>
                          <a:prstGeom prst="rect">
                            <a:avLst/>
                          </a:prstGeom>
                          <a:noFill/>
                          <a:ln>
                            <a:noFill/>
                          </a:ln>
                        </pic:spPr>
                      </pic:pic>
                    </a:graphicData>
                  </a:graphic>
                </wp:inline>
              </w:drawing>
            </w:r>
          </w:p>
        </w:tc>
      </w:tr>
      <w:tr w:rsidR="00FC08E0" w:rsidRPr="00FC08E0" w14:paraId="003DC6F8" w14:textId="77777777" w:rsidTr="00FC08E0">
        <w:tc>
          <w:tcPr>
            <w:tcW w:w="5205" w:type="dxa"/>
            <w:shd w:val="clear" w:color="auto" w:fill="FFFFFF"/>
            <w:vAlign w:val="center"/>
            <w:hideMark/>
          </w:tcPr>
          <w:p w14:paraId="49AD6A62"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Рис. 6.6. Модель формирования надежности объектов:</w:t>
            </w:r>
            <w:r w:rsidRPr="00FC08E0">
              <w:rPr>
                <w:rFonts w:ascii="Open Sans" w:eastAsia="Times New Roman" w:hAnsi="Open Sans" w:cs="Open Sans"/>
                <w:color w:val="444444"/>
                <w:kern w:val="0"/>
                <w:sz w:val="21"/>
                <w:szCs w:val="21"/>
                <w:lang w:eastAsia="ru-RU"/>
                <w14:ligatures w14:val="none"/>
              </w:rPr>
              <w:br/>
              <w:t xml:space="preserve">1, 2, j — системы НК, использующие соответственно только метод рентгенографирования, только метод </w:t>
            </w:r>
            <w:r w:rsidRPr="00FC08E0">
              <w:rPr>
                <w:rFonts w:ascii="Open Sans" w:eastAsia="Times New Roman" w:hAnsi="Open Sans" w:cs="Open Sans"/>
                <w:color w:val="444444"/>
                <w:kern w:val="0"/>
                <w:sz w:val="21"/>
                <w:szCs w:val="21"/>
                <w:lang w:eastAsia="ru-RU"/>
                <w14:ligatures w14:val="none"/>
              </w:rPr>
              <w:lastRenderedPageBreak/>
              <w:t>ультразвуковой дефектоскопии и последовательно оба эти метода, H0 — надежность объектов после их изготовления (технологическая надежность): Н1, Н2, H3.— надежность объектов после устранения дефектов, выявленных в результате применения систем НК 1, 2 или соответственно; ΔH1, ΔН2 и ΔHj — мера технической эффективности систем НК 1, 2 и j соответственно</w:t>
            </w:r>
          </w:p>
        </w:tc>
        <w:tc>
          <w:tcPr>
            <w:tcW w:w="5205" w:type="dxa"/>
            <w:shd w:val="clear" w:color="auto" w:fill="FFFFFF"/>
            <w:vAlign w:val="center"/>
            <w:hideMark/>
          </w:tcPr>
          <w:p w14:paraId="1CD7073F"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lastRenderedPageBreak/>
              <w:t xml:space="preserve">Рис. 6.7. Схематическое отображение результатов рентгенографирования стыковых сварных швов листов толщиной 20 мм: 1 — непровар, 2 —одиночные поры </w:t>
            </w:r>
            <w:r w:rsidRPr="00FC08E0">
              <w:rPr>
                <w:rFonts w:ascii="Open Sans" w:eastAsia="Times New Roman" w:hAnsi="Open Sans" w:cs="Open Sans"/>
                <w:color w:val="444444"/>
                <w:kern w:val="0"/>
                <w:sz w:val="21"/>
                <w:szCs w:val="21"/>
                <w:lang w:eastAsia="ru-RU"/>
                <w14:ligatures w14:val="none"/>
              </w:rPr>
              <w:lastRenderedPageBreak/>
              <w:t>диаметром 4,5 мм, 3 — то же, диаметром 2,0 мм</w:t>
            </w:r>
          </w:p>
        </w:tc>
      </w:tr>
    </w:tbl>
    <w:p w14:paraId="5D06CBB8" w14:textId="41432193"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lastRenderedPageBreak/>
        <w:t>Если в объекте имеется (</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)0 дефектов различного типа и вида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где </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1, (</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)0, каждому из которых соответствует свое распределение вероятностей </w:t>
      </w:r>
      <w:r w:rsidRPr="00FC08E0">
        <w:rPr>
          <w:rFonts w:ascii="Open Sans" w:eastAsia="Times New Roman" w:hAnsi="Open Sans" w:cs="Open Sans"/>
          <w:i/>
          <w:iCs/>
          <w:color w:val="DD0055"/>
          <w:kern w:val="0"/>
          <w:sz w:val="21"/>
          <w:szCs w:val="21"/>
          <w:lang w:eastAsia="ru-RU"/>
          <w14:ligatures w14:val="none"/>
        </w:rPr>
        <w:t>fki</w:t>
      </w:r>
      <w:r w:rsidRPr="00FC08E0">
        <w:rPr>
          <w:rFonts w:ascii="Open Sans" w:eastAsia="Times New Roman" w:hAnsi="Open Sans" w:cs="Open Sans"/>
          <w:color w:val="444444"/>
          <w:kern w:val="0"/>
          <w:sz w:val="21"/>
          <w:szCs w:val="21"/>
          <w:lang w:eastAsia="ru-RU"/>
          <w14:ligatures w14:val="none"/>
        </w:rPr>
        <w:t> (m) и своя потенциальная опасность </w:t>
      </w:r>
      <w:r w:rsidRPr="00FC08E0">
        <w:rPr>
          <w:rFonts w:ascii="Open Sans" w:eastAsia="Times New Roman" w:hAnsi="Open Sans" w:cs="Open Sans"/>
          <w:i/>
          <w:iCs/>
          <w:color w:val="DD0055"/>
          <w:kern w:val="0"/>
          <w:sz w:val="21"/>
          <w:szCs w:val="21"/>
          <w:lang w:eastAsia="ru-RU"/>
          <w14:ligatures w14:val="none"/>
        </w:rPr>
        <w:t>Р</w:t>
      </w:r>
      <w:r w:rsidRPr="00FC08E0">
        <w:rPr>
          <w:rFonts w:ascii="Open Sans" w:eastAsia="Times New Roman" w:hAnsi="Open Sans" w:cs="Open Sans"/>
          <w:color w:val="444444"/>
          <w:kern w:val="0"/>
          <w:sz w:val="21"/>
          <w:szCs w:val="21"/>
          <w:lang w:eastAsia="ru-RU"/>
          <w14:ligatures w14:val="none"/>
        </w:rPr>
        <w:t>(А</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то вероятность безотказной работы объекта </w:t>
      </w:r>
      <w:r w:rsidRPr="00FC08E0">
        <w:rPr>
          <w:rFonts w:ascii="Open Sans" w:eastAsia="Times New Roman" w:hAnsi="Open Sans" w:cs="Open Sans"/>
          <w:i/>
          <w:iCs/>
          <w:color w:val="DD0055"/>
          <w:kern w:val="0"/>
          <w:sz w:val="21"/>
          <w:szCs w:val="21"/>
          <w:lang w:eastAsia="ru-RU"/>
          <w14:ligatures w14:val="none"/>
        </w:rPr>
        <w:t>H</w:t>
      </w:r>
      <w:r w:rsidRPr="00FC08E0">
        <w:rPr>
          <w:rFonts w:ascii="Open Sans" w:eastAsia="Times New Roman" w:hAnsi="Open Sans" w:cs="Open Sans"/>
          <w:color w:val="444444"/>
          <w:kern w:val="0"/>
          <w:sz w:val="21"/>
          <w:szCs w:val="21"/>
          <w:lang w:eastAsia="ru-RU"/>
          <w14:ligatures w14:val="none"/>
        </w:rPr>
        <w:t>0 в соответствии с принятым понятием о дефекте (см. § 6.2) получится как произведение вероятностей (6.4)</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0246A09B" wp14:editId="57C87BD3">
            <wp:extent cx="2087880" cy="487680"/>
            <wp:effectExtent l="0" t="0" r="7620" b="7620"/>
            <wp:docPr id="1939751404"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87880" cy="48768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(6.5)</w:t>
      </w:r>
      <w:r w:rsidRPr="00FC08E0">
        <w:rPr>
          <w:rFonts w:ascii="Open Sans" w:eastAsia="Times New Roman" w:hAnsi="Open Sans" w:cs="Open Sans"/>
          <w:color w:val="444444"/>
          <w:kern w:val="0"/>
          <w:sz w:val="21"/>
          <w:szCs w:val="21"/>
          <w:lang w:eastAsia="ru-RU"/>
          <w14:ligatures w14:val="none"/>
        </w:rPr>
        <w:br/>
        <w:t>Значения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являются мерой надежности технологических процессов, по которым, с учетом стоимости процессов, может быть выбран оптимальный процесс.</w:t>
      </w:r>
      <w:r w:rsidRPr="00FC08E0">
        <w:rPr>
          <w:rFonts w:ascii="Open Sans" w:eastAsia="Times New Roman" w:hAnsi="Open Sans" w:cs="Open Sans"/>
          <w:color w:val="444444"/>
          <w:kern w:val="0"/>
          <w:sz w:val="21"/>
          <w:szCs w:val="21"/>
          <w:lang w:eastAsia="ru-RU"/>
          <w14:ligatures w14:val="none"/>
        </w:rPr>
        <w:br/>
        <w:t>Надежность объектов после их изготовления может быть повышена путем выявления дефектов системой НК и их устранения (рис. 6.6).</w:t>
      </w:r>
      <w:r w:rsidRPr="00FC08E0">
        <w:rPr>
          <w:rFonts w:ascii="Open Sans" w:eastAsia="Times New Roman" w:hAnsi="Open Sans" w:cs="Open Sans"/>
          <w:color w:val="444444"/>
          <w:kern w:val="0"/>
          <w:sz w:val="21"/>
          <w:szCs w:val="21"/>
          <w:lang w:eastAsia="ru-RU"/>
          <w14:ligatures w14:val="none"/>
        </w:rPr>
        <w:br/>
        <w:t>Вероятность </w:t>
      </w:r>
      <w:r w:rsidRPr="00FC08E0">
        <w:rPr>
          <w:rFonts w:ascii="Open Sans" w:eastAsia="Times New Roman" w:hAnsi="Open Sans" w:cs="Open Sans"/>
          <w:i/>
          <w:iCs/>
          <w:color w:val="DD0055"/>
          <w:kern w:val="0"/>
          <w:sz w:val="21"/>
          <w:szCs w:val="21"/>
          <w:lang w:eastAsia="ru-RU"/>
          <w14:ligatures w14:val="none"/>
        </w:rPr>
        <w:t>H</w:t>
      </w:r>
      <w:r w:rsidRPr="00FC08E0">
        <w:rPr>
          <w:rFonts w:ascii="Open Sans" w:eastAsia="Times New Roman" w:hAnsi="Open Sans" w:cs="Open Sans"/>
          <w:color w:val="444444"/>
          <w:kern w:val="0"/>
          <w:sz w:val="21"/>
          <w:szCs w:val="21"/>
          <w:lang w:eastAsia="ru-RU"/>
          <w14:ligatures w14:val="none"/>
        </w:rPr>
        <w:t>0 безотказной работы (невозникновения аварийной ситуации) однотипных объектов может быть использована и для классификации их по уровню дефектности, если даже эти объекты предназначены для эксплуатации в различных условиях. Классификация объектов по уровню дефектности на основе данных НК находит применение в сварочном производстве [4]. Так, по данным ультразвукового контроля в соответствии с ГОСТ 14782 - 86 сварные соединения, в зависимости от типа обнаруженных дефектов, ступени размера и ступени частоты дефектов, относят к одному из пяти классов. Аналогично, по величине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может быть классифицирована дефектность сварных соединений. Для этого, однако, следует положить, что все сварные соединения будут эксплуатироваться в некоторых одинаковых гипотетических условиях, для которых справедливы значения условных потенциальных опасностей дефектов Р*(А</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рассчитанные по выражению (6.2), и коэффициентам </w:t>
      </w:r>
      <w:r w:rsidRPr="00FC08E0">
        <w:rPr>
          <w:rFonts w:ascii="Open Sans" w:eastAsia="Times New Roman" w:hAnsi="Open Sans" w:cs="Open Sans"/>
          <w:i/>
          <w:iCs/>
          <w:color w:val="DD0055"/>
          <w:kern w:val="0"/>
          <w:sz w:val="21"/>
          <w:szCs w:val="21"/>
          <w:lang w:eastAsia="ru-RU"/>
          <w14:ligatures w14:val="none"/>
        </w:rPr>
        <w:t>rk</w:t>
      </w:r>
      <w:r w:rsidRPr="00FC08E0">
        <w:rPr>
          <w:rFonts w:ascii="Open Sans" w:eastAsia="Times New Roman" w:hAnsi="Open Sans" w:cs="Open Sans"/>
          <w:color w:val="444444"/>
          <w:kern w:val="0"/>
          <w:sz w:val="21"/>
          <w:szCs w:val="21"/>
          <w:lang w:eastAsia="ru-RU"/>
          <w14:ligatures w14:val="none"/>
        </w:rPr>
        <w:t> и </w:t>
      </w:r>
      <w:r w:rsidRPr="00FC08E0">
        <w:rPr>
          <w:rFonts w:ascii="Open Sans" w:eastAsia="Times New Roman" w:hAnsi="Open Sans" w:cs="Open Sans"/>
          <w:i/>
          <w:iCs/>
          <w:color w:val="DD0055"/>
          <w:kern w:val="0"/>
          <w:sz w:val="21"/>
          <w:szCs w:val="21"/>
          <w:lang w:eastAsia="ru-RU"/>
          <w14:ligatures w14:val="none"/>
        </w:rPr>
        <w:t>r</w:t>
      </w:r>
      <w:r w:rsidRPr="00FC08E0">
        <w:rPr>
          <w:rFonts w:ascii="Open Sans" w:eastAsia="Times New Roman" w:hAnsi="Open Sans" w:cs="Open Sans"/>
          <w:color w:val="444444"/>
          <w:kern w:val="0"/>
          <w:sz w:val="21"/>
          <w:szCs w:val="21"/>
          <w:lang w:eastAsia="ru-RU"/>
          <w14:ligatures w14:val="none"/>
        </w:rPr>
        <w:t>т, установленным, например, по табл. 6.1. В этом случае вероятность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невозникновения аварийной ситуации в сварном соединении, число ты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в которых известны по результатам НК, в соответствии с (6.3) определяется по формуле</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6A8BFDAC" wp14:editId="196FE10D">
            <wp:extent cx="1485900" cy="449580"/>
            <wp:effectExtent l="0" t="0" r="0" b="7620"/>
            <wp:docPr id="239106936"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85900" cy="44958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(6.6)</w:t>
      </w:r>
      <w:r w:rsidRPr="00FC08E0">
        <w:rPr>
          <w:rFonts w:ascii="Open Sans" w:eastAsia="Times New Roman" w:hAnsi="Open Sans" w:cs="Open Sans"/>
          <w:color w:val="444444"/>
          <w:kern w:val="0"/>
          <w:sz w:val="21"/>
          <w:szCs w:val="21"/>
          <w:lang w:eastAsia="ru-RU"/>
          <w14:ligatures w14:val="none"/>
        </w:rPr>
        <w:br/>
        <w:t>Таблица 6.2</w:t>
      </w:r>
      <w:r w:rsidRPr="00FC08E0">
        <w:rPr>
          <w:rFonts w:ascii="Open Sans" w:eastAsia="Times New Roman" w:hAnsi="Open Sans" w:cs="Open Sans"/>
          <w:color w:val="444444"/>
          <w:kern w:val="0"/>
          <w:sz w:val="21"/>
          <w:szCs w:val="21"/>
          <w:lang w:eastAsia="ru-RU"/>
          <w14:ligatures w14:val="none"/>
        </w:rPr>
        <w:br/>
        <w:t>Классы дефектности сварных соединений</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178FA580" wp14:editId="74EA771B">
            <wp:extent cx="4297680" cy="754380"/>
            <wp:effectExtent l="0" t="0" r="7620" b="7620"/>
            <wp:docPr id="2021931"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97680" cy="754380"/>
                    </a:xfrm>
                    <a:prstGeom prst="rect">
                      <a:avLst/>
                    </a:prstGeom>
                    <a:noFill/>
                    <a:ln>
                      <a:noFill/>
                    </a:ln>
                  </pic:spPr>
                </pic:pic>
              </a:graphicData>
            </a:graphic>
          </wp:inline>
        </w:drawing>
      </w:r>
    </w:p>
    <w:p w14:paraId="68C23174"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Таблица 6.3</w:t>
      </w:r>
      <w:r w:rsidRPr="00FC08E0">
        <w:rPr>
          <w:rFonts w:ascii="Open Sans" w:eastAsia="Times New Roman" w:hAnsi="Open Sans" w:cs="Open Sans"/>
          <w:color w:val="444444"/>
          <w:kern w:val="0"/>
          <w:sz w:val="21"/>
          <w:szCs w:val="21"/>
          <w:lang w:eastAsia="ru-RU"/>
          <w14:ligatures w14:val="none"/>
        </w:rPr>
        <w:br/>
        <w:t>Коэффициенты </w:t>
      </w:r>
      <w:r w:rsidRPr="00FC08E0">
        <w:rPr>
          <w:rFonts w:ascii="Open Sans" w:eastAsia="Times New Roman" w:hAnsi="Open Sans" w:cs="Open Sans"/>
          <w:i/>
          <w:iCs/>
          <w:color w:val="DD0055"/>
          <w:kern w:val="0"/>
          <w:sz w:val="21"/>
          <w:szCs w:val="21"/>
          <w:lang w:eastAsia="ru-RU"/>
          <w14:ligatures w14:val="none"/>
        </w:rPr>
        <w:t>rk</w:t>
      </w:r>
      <w:r w:rsidRPr="00FC08E0">
        <w:rPr>
          <w:rFonts w:ascii="Open Sans" w:eastAsia="Times New Roman" w:hAnsi="Open Sans" w:cs="Open Sans"/>
          <w:color w:val="444444"/>
          <w:kern w:val="0"/>
          <w:sz w:val="21"/>
          <w:szCs w:val="21"/>
          <w:lang w:eastAsia="ru-RU"/>
          <w14:ligatures w14:val="none"/>
        </w:rPr>
        <w:t> опасности и потенциальная опасность</w:t>
      </w:r>
      <w:r w:rsidRPr="00FC08E0">
        <w:rPr>
          <w:rFonts w:ascii="Open Sans" w:eastAsia="Times New Roman" w:hAnsi="Open Sans" w:cs="Open Sans"/>
          <w:color w:val="444444"/>
          <w:kern w:val="0"/>
          <w:sz w:val="21"/>
          <w:szCs w:val="21"/>
          <w:lang w:eastAsia="ru-RU"/>
          <w14:ligatures w14:val="none"/>
        </w:rPr>
        <w:br/>
        <w:t>P*(A</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дефектов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вида </w:t>
      </w:r>
      <w:r w:rsidRPr="00FC08E0">
        <w:rPr>
          <w:rFonts w:ascii="Open Sans" w:eastAsia="Times New Roman" w:hAnsi="Open Sans" w:cs="Open Sans"/>
          <w:i/>
          <w:iCs/>
          <w:color w:val="DD0055"/>
          <w:kern w:val="0"/>
          <w:sz w:val="21"/>
          <w:szCs w:val="21"/>
          <w:lang w:eastAsia="ru-RU"/>
          <w14:ligatures w14:val="none"/>
        </w:rPr>
        <w:t>i</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60"/>
        <w:gridCol w:w="1185"/>
        <w:gridCol w:w="1275"/>
        <w:gridCol w:w="1080"/>
        <w:gridCol w:w="1560"/>
        <w:gridCol w:w="1470"/>
      </w:tblGrid>
      <w:tr w:rsidR="00FC08E0" w:rsidRPr="00FC08E0" w14:paraId="2D156498" w14:textId="77777777" w:rsidTr="00FC08E0">
        <w:trPr>
          <w:jc w:val="center"/>
        </w:trPr>
        <w:tc>
          <w:tcPr>
            <w:tcW w:w="1560" w:type="dxa"/>
            <w:vMerge w:val="restart"/>
            <w:tcBorders>
              <w:top w:val="outset" w:sz="6" w:space="0" w:color="auto"/>
              <w:left w:val="outset" w:sz="6" w:space="0" w:color="auto"/>
              <w:bottom w:val="outset" w:sz="6" w:space="0" w:color="auto"/>
              <w:right w:val="outset" w:sz="6" w:space="0" w:color="auto"/>
            </w:tcBorders>
            <w:vAlign w:val="center"/>
            <w:hideMark/>
          </w:tcPr>
          <w:p w14:paraId="7CF00EAC"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lastRenderedPageBreak/>
              <w:br/>
            </w:r>
            <w:r w:rsidRPr="00FC08E0">
              <w:rPr>
                <w:rFonts w:ascii="Times New Roman" w:eastAsia="Times New Roman" w:hAnsi="Times New Roman" w:cs="Times New Roman"/>
                <w:i/>
                <w:iCs/>
                <w:color w:val="DD0055"/>
                <w:kern w:val="0"/>
                <w:sz w:val="24"/>
                <w:szCs w:val="24"/>
                <w:lang w:eastAsia="ru-RU"/>
                <w14:ligatures w14:val="none"/>
              </w:rPr>
              <w:t>ki</w:t>
            </w:r>
          </w:p>
        </w:tc>
        <w:tc>
          <w:tcPr>
            <w:tcW w:w="1185" w:type="dxa"/>
            <w:vMerge w:val="restart"/>
            <w:tcBorders>
              <w:top w:val="outset" w:sz="6" w:space="0" w:color="auto"/>
              <w:left w:val="outset" w:sz="6" w:space="0" w:color="auto"/>
              <w:bottom w:val="outset" w:sz="6" w:space="0" w:color="auto"/>
              <w:right w:val="outset" w:sz="6" w:space="0" w:color="auto"/>
            </w:tcBorders>
            <w:vAlign w:val="center"/>
            <w:hideMark/>
          </w:tcPr>
          <w:p w14:paraId="206FCD07"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Трещина</w:t>
            </w:r>
          </w:p>
        </w:tc>
        <w:tc>
          <w:tcPr>
            <w:tcW w:w="1275" w:type="dxa"/>
            <w:vMerge w:val="restart"/>
            <w:tcBorders>
              <w:top w:val="outset" w:sz="6" w:space="0" w:color="auto"/>
              <w:left w:val="outset" w:sz="6" w:space="0" w:color="auto"/>
              <w:bottom w:val="outset" w:sz="6" w:space="0" w:color="auto"/>
              <w:right w:val="outset" w:sz="6" w:space="0" w:color="auto"/>
            </w:tcBorders>
            <w:vAlign w:val="center"/>
            <w:hideMark/>
          </w:tcPr>
          <w:p w14:paraId="7C1958C9"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Непровар</w:t>
            </w:r>
          </w:p>
        </w:tc>
        <w:tc>
          <w:tcPr>
            <w:tcW w:w="4095" w:type="dxa"/>
            <w:gridSpan w:val="3"/>
            <w:tcBorders>
              <w:top w:val="outset" w:sz="6" w:space="0" w:color="auto"/>
              <w:left w:val="outset" w:sz="6" w:space="0" w:color="auto"/>
              <w:bottom w:val="outset" w:sz="6" w:space="0" w:color="auto"/>
              <w:right w:val="outset" w:sz="6" w:space="0" w:color="auto"/>
            </w:tcBorders>
            <w:vAlign w:val="center"/>
            <w:hideMark/>
          </w:tcPr>
          <w:p w14:paraId="73700FA7"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Пора одиночная диаметром</w:t>
            </w:r>
          </w:p>
        </w:tc>
      </w:tr>
      <w:tr w:rsidR="00FC08E0" w:rsidRPr="00FC08E0" w14:paraId="097FE7B2" w14:textId="77777777" w:rsidTr="00FC08E0">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8C0D67D"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8F146E4"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B394543"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p>
        </w:tc>
        <w:tc>
          <w:tcPr>
            <w:tcW w:w="1080" w:type="dxa"/>
            <w:tcBorders>
              <w:top w:val="outset" w:sz="6" w:space="0" w:color="auto"/>
              <w:left w:val="outset" w:sz="6" w:space="0" w:color="auto"/>
              <w:bottom w:val="outset" w:sz="6" w:space="0" w:color="auto"/>
              <w:right w:val="outset" w:sz="6" w:space="0" w:color="auto"/>
            </w:tcBorders>
            <w:vAlign w:val="center"/>
            <w:hideMark/>
          </w:tcPr>
          <w:p w14:paraId="4F22EA2A"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&lt;0,1δ</w:t>
            </w:r>
          </w:p>
        </w:tc>
        <w:tc>
          <w:tcPr>
            <w:tcW w:w="1560" w:type="dxa"/>
            <w:tcBorders>
              <w:top w:val="outset" w:sz="6" w:space="0" w:color="auto"/>
              <w:left w:val="outset" w:sz="6" w:space="0" w:color="auto"/>
              <w:bottom w:val="outset" w:sz="6" w:space="0" w:color="auto"/>
              <w:right w:val="outset" w:sz="6" w:space="0" w:color="auto"/>
            </w:tcBorders>
            <w:vAlign w:val="center"/>
            <w:hideMark/>
          </w:tcPr>
          <w:p w14:paraId="097E2A66"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(0,1...0,2)δ</w:t>
            </w:r>
          </w:p>
        </w:tc>
        <w:tc>
          <w:tcPr>
            <w:tcW w:w="1470" w:type="dxa"/>
            <w:tcBorders>
              <w:top w:val="outset" w:sz="6" w:space="0" w:color="auto"/>
              <w:left w:val="outset" w:sz="6" w:space="0" w:color="auto"/>
              <w:bottom w:val="outset" w:sz="6" w:space="0" w:color="auto"/>
              <w:right w:val="outset" w:sz="6" w:space="0" w:color="auto"/>
            </w:tcBorders>
            <w:vAlign w:val="center"/>
            <w:hideMark/>
          </w:tcPr>
          <w:p w14:paraId="482D3610"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(0,2...0,3)δ</w:t>
            </w:r>
          </w:p>
        </w:tc>
      </w:tr>
      <w:tr w:rsidR="00FC08E0" w:rsidRPr="00FC08E0" w14:paraId="738868CC" w14:textId="77777777" w:rsidTr="00FC08E0">
        <w:trPr>
          <w:jc w:val="center"/>
        </w:trPr>
        <w:tc>
          <w:tcPr>
            <w:tcW w:w="1560" w:type="dxa"/>
            <w:tcBorders>
              <w:top w:val="outset" w:sz="6" w:space="0" w:color="auto"/>
              <w:left w:val="outset" w:sz="6" w:space="0" w:color="auto"/>
              <w:bottom w:val="outset" w:sz="6" w:space="0" w:color="auto"/>
              <w:right w:val="outset" w:sz="6" w:space="0" w:color="auto"/>
            </w:tcBorders>
            <w:hideMark/>
          </w:tcPr>
          <w:p w14:paraId="0AE85004"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i/>
                <w:iCs/>
                <w:color w:val="DD0055"/>
                <w:kern w:val="0"/>
                <w:sz w:val="24"/>
                <w:szCs w:val="24"/>
                <w:lang w:eastAsia="ru-RU"/>
                <w14:ligatures w14:val="none"/>
              </w:rPr>
              <w:t>rk</w:t>
            </w:r>
            <w:r w:rsidRPr="00FC08E0">
              <w:rPr>
                <w:rFonts w:ascii="Times New Roman" w:eastAsia="Times New Roman" w:hAnsi="Times New Roman" w:cs="Times New Roman"/>
                <w:kern w:val="0"/>
                <w:sz w:val="24"/>
                <w:szCs w:val="24"/>
                <w:lang w:eastAsia="ru-RU"/>
                <w14:ligatures w14:val="none"/>
              </w:rPr>
              <w:br/>
              <w:t>P*(А</w:t>
            </w:r>
            <w:r w:rsidRPr="00FC08E0">
              <w:rPr>
                <w:rFonts w:ascii="Times New Roman" w:eastAsia="Times New Roman" w:hAnsi="Times New Roman" w:cs="Times New Roman"/>
                <w:i/>
                <w:iCs/>
                <w:color w:val="DD0055"/>
                <w:kern w:val="0"/>
                <w:sz w:val="24"/>
                <w:szCs w:val="24"/>
                <w:lang w:eastAsia="ru-RU"/>
                <w14:ligatures w14:val="none"/>
              </w:rPr>
              <w:t>ki</w:t>
            </w:r>
            <w:r w:rsidRPr="00FC08E0">
              <w:rPr>
                <w:rFonts w:ascii="Times New Roman" w:eastAsia="Times New Roman" w:hAnsi="Times New Roman" w:cs="Times New Roman"/>
                <w:kern w:val="0"/>
                <w:sz w:val="24"/>
                <w:szCs w:val="24"/>
                <w:lang w:eastAsia="ru-RU"/>
                <w14:ligatures w14:val="none"/>
              </w:rPr>
              <w:t>)</w:t>
            </w:r>
          </w:p>
        </w:tc>
        <w:tc>
          <w:tcPr>
            <w:tcW w:w="1185" w:type="dxa"/>
            <w:tcBorders>
              <w:top w:val="outset" w:sz="6" w:space="0" w:color="auto"/>
              <w:left w:val="outset" w:sz="6" w:space="0" w:color="auto"/>
              <w:bottom w:val="outset" w:sz="6" w:space="0" w:color="auto"/>
              <w:right w:val="outset" w:sz="6" w:space="0" w:color="auto"/>
            </w:tcBorders>
            <w:vAlign w:val="center"/>
            <w:hideMark/>
          </w:tcPr>
          <w:p w14:paraId="0D524D59"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100</w:t>
            </w:r>
            <w:r w:rsidRPr="00FC08E0">
              <w:rPr>
                <w:rFonts w:ascii="Times New Roman" w:eastAsia="Times New Roman" w:hAnsi="Times New Roman" w:cs="Times New Roman"/>
                <w:kern w:val="0"/>
                <w:sz w:val="24"/>
                <w:szCs w:val="24"/>
                <w:lang w:eastAsia="ru-RU"/>
                <w14:ligatures w14:val="none"/>
              </w:rPr>
              <w:br/>
              <w:t>0,999</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96E0309"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10</w:t>
            </w:r>
            <w:r w:rsidRPr="00FC08E0">
              <w:rPr>
                <w:rFonts w:ascii="Times New Roman" w:eastAsia="Times New Roman" w:hAnsi="Times New Roman" w:cs="Times New Roman"/>
                <w:kern w:val="0"/>
                <w:sz w:val="24"/>
                <w:szCs w:val="24"/>
                <w:lang w:eastAsia="ru-RU"/>
                <w14:ligatures w14:val="none"/>
              </w:rPr>
              <w:br/>
              <w:t>0,1</w:t>
            </w:r>
          </w:p>
        </w:tc>
        <w:tc>
          <w:tcPr>
            <w:tcW w:w="1080" w:type="dxa"/>
            <w:tcBorders>
              <w:top w:val="outset" w:sz="6" w:space="0" w:color="auto"/>
              <w:left w:val="outset" w:sz="6" w:space="0" w:color="auto"/>
              <w:bottom w:val="outset" w:sz="6" w:space="0" w:color="auto"/>
              <w:right w:val="outset" w:sz="6" w:space="0" w:color="auto"/>
            </w:tcBorders>
            <w:vAlign w:val="center"/>
            <w:hideMark/>
          </w:tcPr>
          <w:p w14:paraId="7C77307B"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1,0</w:t>
            </w:r>
            <w:r w:rsidRPr="00FC08E0">
              <w:rPr>
                <w:rFonts w:ascii="Times New Roman" w:eastAsia="Times New Roman" w:hAnsi="Times New Roman" w:cs="Times New Roman"/>
                <w:kern w:val="0"/>
                <w:sz w:val="24"/>
                <w:szCs w:val="24"/>
                <w:lang w:eastAsia="ru-RU"/>
                <w14:ligatures w14:val="none"/>
              </w:rPr>
              <w:br/>
              <w:t>0,01</w:t>
            </w:r>
          </w:p>
        </w:tc>
        <w:tc>
          <w:tcPr>
            <w:tcW w:w="1560" w:type="dxa"/>
            <w:tcBorders>
              <w:top w:val="outset" w:sz="6" w:space="0" w:color="auto"/>
              <w:left w:val="outset" w:sz="6" w:space="0" w:color="auto"/>
              <w:bottom w:val="outset" w:sz="6" w:space="0" w:color="auto"/>
              <w:right w:val="outset" w:sz="6" w:space="0" w:color="auto"/>
            </w:tcBorders>
            <w:vAlign w:val="center"/>
            <w:hideMark/>
          </w:tcPr>
          <w:p w14:paraId="038BD214"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1.5</w:t>
            </w:r>
            <w:r w:rsidRPr="00FC08E0">
              <w:rPr>
                <w:rFonts w:ascii="Times New Roman" w:eastAsia="Times New Roman" w:hAnsi="Times New Roman" w:cs="Times New Roman"/>
                <w:kern w:val="0"/>
                <w:sz w:val="24"/>
                <w:szCs w:val="24"/>
                <w:lang w:eastAsia="ru-RU"/>
                <w14:ligatures w14:val="none"/>
              </w:rPr>
              <w:br/>
              <w:t>0,015</w:t>
            </w:r>
          </w:p>
        </w:tc>
        <w:tc>
          <w:tcPr>
            <w:tcW w:w="1470" w:type="dxa"/>
            <w:tcBorders>
              <w:top w:val="outset" w:sz="6" w:space="0" w:color="auto"/>
              <w:left w:val="outset" w:sz="6" w:space="0" w:color="auto"/>
              <w:bottom w:val="outset" w:sz="6" w:space="0" w:color="auto"/>
              <w:right w:val="outset" w:sz="6" w:space="0" w:color="auto"/>
            </w:tcBorders>
            <w:vAlign w:val="center"/>
            <w:hideMark/>
          </w:tcPr>
          <w:p w14:paraId="2606F241"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2</w:t>
            </w:r>
            <w:r w:rsidRPr="00FC08E0">
              <w:rPr>
                <w:rFonts w:ascii="Times New Roman" w:eastAsia="Times New Roman" w:hAnsi="Times New Roman" w:cs="Times New Roman"/>
                <w:kern w:val="0"/>
                <w:sz w:val="24"/>
                <w:szCs w:val="24"/>
                <w:lang w:eastAsia="ru-RU"/>
                <w14:ligatures w14:val="none"/>
              </w:rPr>
              <w:br/>
              <w:t>0,02</w:t>
            </w:r>
          </w:p>
        </w:tc>
      </w:tr>
    </w:tbl>
    <w:p w14:paraId="53295B5C"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Пример. Дано: система классификации стыковых сварных соединений по дефектности, приведенная в табл. 6.2, а также коэффициенты </w:t>
      </w:r>
      <w:r w:rsidRPr="00FC08E0">
        <w:rPr>
          <w:rFonts w:ascii="Open Sans" w:eastAsia="Times New Roman" w:hAnsi="Open Sans" w:cs="Open Sans"/>
          <w:i/>
          <w:iCs/>
          <w:color w:val="DD0055"/>
          <w:kern w:val="0"/>
          <w:sz w:val="21"/>
          <w:szCs w:val="21"/>
          <w:lang w:eastAsia="ru-RU"/>
          <w14:ligatures w14:val="none"/>
        </w:rPr>
        <w:t>rki</w:t>
      </w:r>
      <w:r w:rsidRPr="00FC08E0">
        <w:rPr>
          <w:rFonts w:ascii="Open Sans" w:eastAsia="Times New Roman" w:hAnsi="Open Sans" w:cs="Open Sans"/>
          <w:color w:val="444444"/>
          <w:kern w:val="0"/>
          <w:sz w:val="21"/>
          <w:szCs w:val="21"/>
          <w:lang w:eastAsia="ru-RU"/>
          <w14:ligatures w14:val="none"/>
        </w:rPr>
        <w:t> опасности дефектов (табл. 6.3). По формуле (6.2) рассчитаны соответствующие значения Р*(А</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t>Результаты рентгенографирования стыковых сварных соединений толщиной δ=20 мм, сваренных различными сварщиками, отображены на рис. 6.7. Расчет условной надежности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соединений по выражению (6.6) показывает, что по уровню дефектности они относятся к классам: </w:t>
      </w:r>
      <w:r w:rsidRPr="00FC08E0">
        <w:rPr>
          <w:rFonts w:ascii="Open Sans" w:eastAsia="Times New Roman" w:hAnsi="Open Sans" w:cs="Open Sans"/>
          <w:i/>
          <w:iCs/>
          <w:color w:val="DD0055"/>
          <w:kern w:val="0"/>
          <w:sz w:val="21"/>
          <w:szCs w:val="21"/>
          <w:lang w:eastAsia="ru-RU"/>
          <w14:ligatures w14:val="none"/>
        </w:rPr>
        <w:t>II</w:t>
      </w:r>
      <w:r w:rsidRPr="00FC08E0">
        <w:rPr>
          <w:rFonts w:ascii="Open Sans" w:eastAsia="Times New Roman" w:hAnsi="Open Sans" w:cs="Open Sans"/>
          <w:color w:val="444444"/>
          <w:kern w:val="0"/>
          <w:sz w:val="21"/>
          <w:szCs w:val="21"/>
          <w:lang w:eastAsia="ru-RU"/>
          <w14:ligatures w14:val="none"/>
        </w:rPr>
        <w:t> — соединение 1 (</w:t>
      </w:r>
      <w:r w:rsidRPr="00FC08E0">
        <w:rPr>
          <w:rFonts w:ascii="Open Sans" w:eastAsia="Times New Roman" w:hAnsi="Open Sans" w:cs="Open Sans"/>
          <w:i/>
          <w:iCs/>
          <w:color w:val="DD0055"/>
          <w:kern w:val="0"/>
          <w:sz w:val="21"/>
          <w:szCs w:val="21"/>
          <w:lang w:eastAsia="ru-RU"/>
          <w14:ligatures w14:val="none"/>
        </w:rPr>
        <w:t>H</w:t>
      </w:r>
      <w:r w:rsidRPr="00FC08E0">
        <w:rPr>
          <w:rFonts w:ascii="Open Sans" w:eastAsia="Times New Roman" w:hAnsi="Open Sans" w:cs="Open Sans"/>
          <w:color w:val="444444"/>
          <w:kern w:val="0"/>
          <w:sz w:val="21"/>
          <w:szCs w:val="21"/>
          <w:lang w:eastAsia="ru-RU"/>
          <w14:ligatures w14:val="none"/>
        </w:rPr>
        <w:t>0* = 0,90),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 соединение 2 (</w:t>
      </w:r>
      <w:r w:rsidRPr="00FC08E0">
        <w:rPr>
          <w:rFonts w:ascii="Open Sans" w:eastAsia="Times New Roman" w:hAnsi="Open Sans" w:cs="Open Sans"/>
          <w:i/>
          <w:iCs/>
          <w:color w:val="DD0055"/>
          <w:kern w:val="0"/>
          <w:sz w:val="21"/>
          <w:szCs w:val="21"/>
          <w:lang w:eastAsia="ru-RU"/>
          <w14:ligatures w14:val="none"/>
        </w:rPr>
        <w:t>H</w:t>
      </w:r>
      <w:r w:rsidRPr="00FC08E0">
        <w:rPr>
          <w:rFonts w:ascii="Open Sans" w:eastAsia="Times New Roman" w:hAnsi="Open Sans" w:cs="Open Sans"/>
          <w:color w:val="444444"/>
          <w:kern w:val="0"/>
          <w:sz w:val="21"/>
          <w:szCs w:val="21"/>
          <w:lang w:eastAsia="ru-RU"/>
          <w14:ligatures w14:val="none"/>
        </w:rPr>
        <w:t>0* = 0,96),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 соединение 3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 0,92).</w:t>
      </w:r>
    </w:p>
    <w:p w14:paraId="74A2BEFF" w14:textId="074FA1E2"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6" w:name="_Toc322119682"/>
      <w:bookmarkStart w:id="7" w:name="_Toc191278237"/>
      <w:bookmarkEnd w:id="6"/>
      <w:r w:rsidRPr="00FC08E0">
        <w:rPr>
          <w:rFonts w:ascii="Open Sans" w:eastAsia="Times New Roman" w:hAnsi="Open Sans" w:cs="Open Sans"/>
          <w:color w:val="1FA2D6"/>
          <w:kern w:val="0"/>
          <w:sz w:val="21"/>
          <w:szCs w:val="21"/>
          <w:lang w:eastAsia="ru-RU"/>
          <w14:ligatures w14:val="none"/>
        </w:rPr>
        <w:t>§ 6.4. Оперативные характеристики систем неразрушающего контроля</w:t>
      </w:r>
      <w:bookmarkEnd w:id="7"/>
      <w:r w:rsidRPr="00FC08E0">
        <w:rPr>
          <w:rFonts w:ascii="Open Sans" w:eastAsia="Times New Roman" w:hAnsi="Open Sans" w:cs="Open Sans"/>
          <w:color w:val="444444"/>
          <w:kern w:val="0"/>
          <w:sz w:val="21"/>
          <w:szCs w:val="21"/>
          <w:lang w:eastAsia="ru-RU"/>
          <w14:ligatures w14:val="none"/>
        </w:rPr>
        <w:br/>
        <w:t>При неразрушающем контроле дефект может быть выявлен или пропущен. Поэтому выявление дефекта Dv правомерно рассматривать как событие случайное, вероятность наступления которого Р(Ву).</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7CCCED32" wp14:editId="396F8BB6">
            <wp:extent cx="3672840" cy="1333500"/>
            <wp:effectExtent l="0" t="0" r="3810" b="0"/>
            <wp:docPr id="1265779779"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72840" cy="133350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Рис. 6.8. Априорные оперативные характеристики выявления дефектов с характеристическим размером S: а — варианта метода Mt, б — комплекса «оператор — дефектоскоп», использующего вариант Mt при выявлении дефектов протяженных (1) и компактных (2)</w:t>
      </w:r>
    </w:p>
    <w:p w14:paraId="22863007"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Вероятность выявления дефекта Ds с характеристическим размером S, априорно находящегося в объекте в единственном числе, при условии применения варианта Mt и строгом (с достоверностью не ниже 0,99) соблюдении основных параметров этого метода, называют априорной вероятностью выявления дефекта Ds вариантом Mt и обозначают через Pt(Bs/Mt).</w:t>
      </w:r>
      <w:r w:rsidRPr="00FC08E0">
        <w:rPr>
          <w:rFonts w:ascii="Open Sans" w:eastAsia="Times New Roman" w:hAnsi="Open Sans" w:cs="Open Sans"/>
          <w:color w:val="444444"/>
          <w:kern w:val="0"/>
          <w:sz w:val="21"/>
          <w:szCs w:val="21"/>
          <w:lang w:eastAsia="ru-RU"/>
          <w14:ligatures w14:val="none"/>
        </w:rPr>
        <w:br/>
        <w:t>Вероятность Pt(BsIMt), при данной чувствительности варианта Mt и прочих равных условиях, есть функция S.</w:t>
      </w:r>
      <w:r w:rsidRPr="00FC08E0">
        <w:rPr>
          <w:rFonts w:ascii="Open Sans" w:eastAsia="Times New Roman" w:hAnsi="Open Sans" w:cs="Open Sans"/>
          <w:color w:val="444444"/>
          <w:kern w:val="0"/>
          <w:sz w:val="21"/>
          <w:szCs w:val="21"/>
          <w:lang w:eastAsia="ru-RU"/>
          <w14:ligatures w14:val="none"/>
        </w:rPr>
        <w:br/>
        <w:t>Минимальное значение характеристического размера S дефекта, расположенного в данном объекте и уверенно (Pt(Bs/Mt)³0,99) фиксируемого при контроле, определяет предельную чувствительность Sп</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 варианта </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 метода НК.</w:t>
      </w:r>
      <w:r w:rsidRPr="00FC08E0">
        <w:rPr>
          <w:rFonts w:ascii="Open Sans" w:eastAsia="Times New Roman" w:hAnsi="Open Sans" w:cs="Open Sans"/>
          <w:color w:val="444444"/>
          <w:kern w:val="0"/>
          <w:sz w:val="21"/>
          <w:szCs w:val="21"/>
          <w:lang w:eastAsia="ru-RU"/>
          <w14:ligatures w14:val="none"/>
        </w:rPr>
        <w:br/>
        <w:t>Предельная чувствительность обусловливает минимальные размеры дефекта, оптимального с точки зрения выявляемости, который еще может быть обнаружен с вероятностью не менее 0,99 в данном объекте при данной настройке аппаратуры, т.е. при данном варианте метода.</w:t>
      </w:r>
      <w:r w:rsidRPr="00FC08E0">
        <w:rPr>
          <w:rFonts w:ascii="Open Sans" w:eastAsia="Times New Roman" w:hAnsi="Open Sans" w:cs="Open Sans"/>
          <w:color w:val="444444"/>
          <w:kern w:val="0"/>
          <w:sz w:val="21"/>
          <w:szCs w:val="21"/>
          <w:lang w:eastAsia="ru-RU"/>
          <w14:ligatures w14:val="none"/>
        </w:rPr>
        <w:br/>
        <w:t>На рис. 6.8, а приведена априорная оперативная характеристика варианта Mt, т.е. зависимость вероятности выявления дефектов Ds с характеристическим размером S вариантом Мt предельная чувствительность которого Sп</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t xml:space="preserve">Априорная оперативная характеристика Pt(Bs/Mt) определяет надежность вариантов Mt </w:t>
      </w:r>
      <w:r w:rsidRPr="00FC08E0">
        <w:rPr>
          <w:rFonts w:ascii="Open Sans" w:eastAsia="Times New Roman" w:hAnsi="Open Sans" w:cs="Open Sans"/>
          <w:color w:val="444444"/>
          <w:kern w:val="0"/>
          <w:sz w:val="21"/>
          <w:szCs w:val="21"/>
          <w:lang w:eastAsia="ru-RU"/>
          <w14:ligatures w14:val="none"/>
        </w:rPr>
        <w:lastRenderedPageBreak/>
        <w:t>контроля конкретных объектов в идеализированных условиях. Значение Pt(Bs/Mt) может быть установлено по результатам контроля объектов в лабораторных условиях независимо несколькими высококвалифицированными операторами с использованием аппаратуры, основные параметры, контроля которой строго соответствуют заданным для варианта Mt. Условия контроля и время, отведенное каждому оператору на контроль объектов, должны обеспечивать возможность операторам строго выполнять все заданные для варианта Mt операции. В практике НК при радиографическом, ультразвуковом, магнитографическом и других методах выбор основных параметров контроля, настройку аппаратуры, большую часть процесса контроля и всю обработку информации осуществляет оператор. Почти все операции по обработке и использованию этой информации выполняются мозгом оператора, в который сигнал (только частично обработанный на индикаторах дефектоскопа) поступает через органы зрения и слуха. С одной стороны, такая схема обработки имеет определенные преимущества перед другими, поскольку алгоритм обработки, применяемый оператором, может непрерывно оптимизироваться применительно к умозрительной функция эффективности в соответствии со сложившейся ситуацией, допускающей, что очень важно, оперативную перепроверку. G другой стороны, эта схема обработки обладает существенным недостатком, обусловленным тем, что используемые оператором алгоритм обработки и умозрительная функция эффективности зависят от многих субъективных факторов оператора; более того, этими же факторами определяется, насколько верно оператор выбрал основные параметры контроля и воспроизвел их в процессе проверки качества объекта.</w:t>
      </w:r>
      <w:r w:rsidRPr="00FC08E0">
        <w:rPr>
          <w:rFonts w:ascii="Open Sans" w:eastAsia="Times New Roman" w:hAnsi="Open Sans" w:cs="Open Sans"/>
          <w:color w:val="444444"/>
          <w:kern w:val="0"/>
          <w:sz w:val="21"/>
          <w:szCs w:val="21"/>
          <w:lang w:eastAsia="ru-RU"/>
          <w14:ligatures w14:val="none"/>
        </w:rPr>
        <w:br/>
        <w:t>Из изложенного следует, что вероятность выявления дефекта определенным методом контроля при прочих равных условиях во многом определяется вероятностью Роп(</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р) точного, безошибочного и своевременного выполнения оператором в течение времени контроля </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p всех порученных ему функций контроля объекта в заданных условиях, т.е. надежность оператора (контролера). К функциям, возложенным на оператора, прежде всего следует отнести: выбор значений основных параметров контроля; настройку дефектоскопа на заданные основные параметры аппаратуры; подготовку объекта к контролю; выполнение непосредственно контроля; оценку качества объекта путем сопоставления измеренных значений характеристик выявленных дефектов с граничными значениями для недопустимых дефектов.</w:t>
      </w:r>
      <w:r w:rsidRPr="00FC08E0">
        <w:rPr>
          <w:rFonts w:ascii="Open Sans" w:eastAsia="Times New Roman" w:hAnsi="Open Sans" w:cs="Open Sans"/>
          <w:color w:val="444444"/>
          <w:kern w:val="0"/>
          <w:sz w:val="21"/>
          <w:szCs w:val="21"/>
          <w:lang w:eastAsia="ru-RU"/>
          <w14:ligatures w14:val="none"/>
        </w:rPr>
        <w:br/>
        <w:t>Надежность оператора, независимо от применяемого метода контроля, обусловлена (рис. 6.9):</w:t>
      </w:r>
    </w:p>
    <w:p w14:paraId="10ED4BE5" w14:textId="77777777" w:rsidR="00FC08E0" w:rsidRPr="00FC08E0" w:rsidRDefault="00FC08E0" w:rsidP="00FC08E0">
      <w:pPr>
        <w:numPr>
          <w:ilvl w:val="0"/>
          <w:numId w:val="1"/>
        </w:numPr>
        <w:shd w:val="clear" w:color="auto" w:fill="FFFFFF"/>
        <w:spacing w:before="100" w:beforeAutospacing="1" w:after="100" w:afterAutospacing="1" w:line="240" w:lineRule="auto"/>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квалификацией и опытностью (навыками) оператора;</w:t>
      </w:r>
    </w:p>
    <w:p w14:paraId="7A855160" w14:textId="77777777" w:rsidR="00FC08E0" w:rsidRPr="00FC08E0" w:rsidRDefault="00FC08E0" w:rsidP="00FC08E0">
      <w:pPr>
        <w:numPr>
          <w:ilvl w:val="0"/>
          <w:numId w:val="1"/>
        </w:numPr>
        <w:shd w:val="clear" w:color="auto" w:fill="FFFFFF"/>
        <w:spacing w:before="100" w:beforeAutospacing="1" w:after="100" w:afterAutospacing="1" w:line="240" w:lineRule="auto"/>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условиями работы;</w:t>
      </w:r>
    </w:p>
    <w:p w14:paraId="678FD120" w14:textId="77777777" w:rsidR="00FC08E0" w:rsidRPr="00FC08E0" w:rsidRDefault="00FC08E0" w:rsidP="00FC08E0">
      <w:pPr>
        <w:numPr>
          <w:ilvl w:val="0"/>
          <w:numId w:val="1"/>
        </w:numPr>
        <w:shd w:val="clear" w:color="auto" w:fill="FFFFFF"/>
        <w:spacing w:before="100" w:beforeAutospacing="1" w:after="100" w:afterAutospacing="1" w:line="240" w:lineRule="auto"/>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режимом и длительностью работы (напряженностью работы);</w:t>
      </w:r>
    </w:p>
    <w:p w14:paraId="13569F34" w14:textId="77777777" w:rsidR="00FC08E0" w:rsidRPr="00FC08E0" w:rsidRDefault="00FC08E0" w:rsidP="00FC08E0">
      <w:pPr>
        <w:numPr>
          <w:ilvl w:val="0"/>
          <w:numId w:val="1"/>
        </w:numPr>
        <w:shd w:val="clear" w:color="auto" w:fill="FFFFFF"/>
        <w:spacing w:before="100" w:beforeAutospacing="1" w:after="100" w:afterAutospacing="1" w:line="240" w:lineRule="auto"/>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средним уровнем качества контролируемых объектов (частостью обнаружения искомых дефектов).</w:t>
      </w:r>
    </w:p>
    <w:p w14:paraId="7D265AEA" w14:textId="16FF1419"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noProof/>
          <w:color w:val="444444"/>
          <w:kern w:val="0"/>
          <w:sz w:val="21"/>
          <w:szCs w:val="21"/>
          <w:lang w:eastAsia="ru-RU"/>
          <w14:ligatures w14:val="none"/>
        </w:rPr>
        <w:lastRenderedPageBreak/>
        <w:drawing>
          <wp:inline distT="0" distB="0" distL="0" distR="0" wp14:anchorId="5CB4A53A" wp14:editId="45EFAE50">
            <wp:extent cx="3688080" cy="1691640"/>
            <wp:effectExtent l="0" t="0" r="7620" b="3810"/>
            <wp:docPr id="718536280"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688080" cy="169164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Рис. 6.9. Факторы, определяющие надежность оператора </w:t>
      </w:r>
      <w:r w:rsidRPr="00FC08E0">
        <w:rPr>
          <w:rFonts w:ascii="Open Sans" w:eastAsia="Times New Roman" w:hAnsi="Open Sans" w:cs="Open Sans"/>
          <w:i/>
          <w:iCs/>
          <w:color w:val="DD0055"/>
          <w:kern w:val="0"/>
          <w:sz w:val="21"/>
          <w:szCs w:val="21"/>
          <w:lang w:eastAsia="ru-RU"/>
          <w14:ligatures w14:val="none"/>
        </w:rPr>
        <w:t>Р</w:t>
      </w:r>
      <w:r w:rsidRPr="00FC08E0">
        <w:rPr>
          <w:rFonts w:ascii="Open Sans" w:eastAsia="Times New Roman" w:hAnsi="Open Sans" w:cs="Open Sans"/>
          <w:color w:val="444444"/>
          <w:kern w:val="0"/>
          <w:sz w:val="21"/>
          <w:szCs w:val="21"/>
          <w:lang w:eastAsia="ru-RU"/>
          <w14:ligatures w14:val="none"/>
        </w:rPr>
        <w:t>оп(</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р):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 для различных методов НК, </w:t>
      </w:r>
      <w:r w:rsidRPr="00FC08E0">
        <w:rPr>
          <w:rFonts w:ascii="Open Sans" w:eastAsia="Times New Roman" w:hAnsi="Open Sans" w:cs="Open Sans"/>
          <w:i/>
          <w:iCs/>
          <w:color w:val="DD0055"/>
          <w:kern w:val="0"/>
          <w:sz w:val="21"/>
          <w:szCs w:val="21"/>
          <w:lang w:eastAsia="ru-RU"/>
          <w14:ligatures w14:val="none"/>
        </w:rPr>
        <w:t>II</w:t>
      </w:r>
      <w:r w:rsidRPr="00FC08E0">
        <w:rPr>
          <w:rFonts w:ascii="Open Sans" w:eastAsia="Times New Roman" w:hAnsi="Open Sans" w:cs="Open Sans"/>
          <w:color w:val="444444"/>
          <w:kern w:val="0"/>
          <w:sz w:val="21"/>
          <w:szCs w:val="21"/>
          <w:lang w:eastAsia="ru-RU"/>
          <w14:ligatures w14:val="none"/>
        </w:rPr>
        <w:t> — для методов радиографии, магнитопорошкового в капиллярных</w:t>
      </w:r>
    </w:p>
    <w:p w14:paraId="437AB8B8"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Приобретенные ранее оператором навыки обеспечивают ему возможность выполнения установленных операций по контролю без напряжения внимания в привычном темпе в различных режимах работы (минимальный, оптимальный). Однако в экстремальных условиях работы помимо дискомфорта и острого лимитирования времени нормальное выполнение операторских функций осложняется повышением чувства ответственности, возникающим в результате осознания того, что ошибки, промедления, отсрочки, допущенные оператором, могут повлечь за собой сбои в технологическом процессе, аварии и катастрофы. В этих условиях большое значение в обеспечении надежности оператора имеют его интеллектуальные и эмоционально-волевые качества (высоко развитое чувство долга, ответственности за выполняемую работу, выносливость, сообразительность, настойчивость, мужество).</w:t>
      </w:r>
      <w:r w:rsidRPr="00FC08E0">
        <w:rPr>
          <w:rFonts w:ascii="Open Sans" w:eastAsia="Times New Roman" w:hAnsi="Open Sans" w:cs="Open Sans"/>
          <w:color w:val="444444"/>
          <w:kern w:val="0"/>
          <w:sz w:val="21"/>
          <w:szCs w:val="21"/>
          <w:lang w:eastAsia="ru-RU"/>
          <w14:ligatures w14:val="none"/>
        </w:rPr>
        <w:br/>
        <w:t>Надежность оператора определяется также и средним уровнем качества контролируемых объектов. При высоком уровне, когда появление дефектного объекта весьма редко, у оператора вырабатывается неудовлетворенность в своей деятельности и условный рефлекс о бесполезности НК, что приводит к снижению надежности оператора. В этом случае для повышения надежности на рабочем место устанавливают образцы объектов с дефектами («образцы брака»), которые оператор систематически подвергает проверке, ликвидируя тем самым свою неудовлетворенность в работе и подтверждая потенциальную возможность обнаружения искомых дефектов.</w:t>
      </w:r>
    </w:p>
    <w:p w14:paraId="560D5278" w14:textId="7555CDB6"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noProof/>
          <w:color w:val="444444"/>
          <w:kern w:val="0"/>
          <w:sz w:val="21"/>
          <w:szCs w:val="21"/>
          <w:lang w:eastAsia="ru-RU"/>
          <w14:ligatures w14:val="none"/>
        </w:rPr>
        <w:drawing>
          <wp:inline distT="0" distB="0" distL="0" distR="0" wp14:anchorId="19338AE6" wp14:editId="5A226A53">
            <wp:extent cx="2712720" cy="2750820"/>
            <wp:effectExtent l="0" t="0" r="0" b="0"/>
            <wp:docPr id="285944459"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12720" cy="27508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Рис. 6,10. Иллюстрация влияния физиологических особенностей зрительного аппарата радиографов на надежность оператора при радиографировании стыковых швов:</w:t>
      </w:r>
      <w:r w:rsidRPr="00FC08E0">
        <w:rPr>
          <w:rFonts w:ascii="Open Sans" w:eastAsia="Times New Roman" w:hAnsi="Open Sans" w:cs="Open Sans"/>
          <w:color w:val="444444"/>
          <w:kern w:val="0"/>
          <w:sz w:val="21"/>
          <w:szCs w:val="21"/>
          <w:lang w:eastAsia="ru-RU"/>
          <w14:ligatures w14:val="none"/>
        </w:rPr>
        <w:br/>
        <w:t>а — распределение установленной 15 операторами чувствительности </w:t>
      </w:r>
      <w:r w:rsidRPr="00FC08E0">
        <w:rPr>
          <w:rFonts w:ascii="Open Sans" w:eastAsia="Times New Roman" w:hAnsi="Open Sans" w:cs="Open Sans"/>
          <w:i/>
          <w:iCs/>
          <w:color w:val="DD0055"/>
          <w:kern w:val="0"/>
          <w:sz w:val="21"/>
          <w:szCs w:val="21"/>
          <w:lang w:eastAsia="ru-RU"/>
          <w14:ligatures w14:val="none"/>
        </w:rPr>
        <w:t>К</w:t>
      </w:r>
      <w:r w:rsidRPr="00FC08E0">
        <w:rPr>
          <w:rFonts w:ascii="Open Sans" w:eastAsia="Times New Roman" w:hAnsi="Open Sans" w:cs="Open Sans"/>
          <w:color w:val="444444"/>
          <w:kern w:val="0"/>
          <w:sz w:val="21"/>
          <w:szCs w:val="21"/>
          <w:lang w:eastAsia="ru-RU"/>
          <w14:ligatures w14:val="none"/>
        </w:rPr>
        <w:t xml:space="preserve"> одной </w:t>
      </w:r>
      <w:r w:rsidRPr="00FC08E0">
        <w:rPr>
          <w:rFonts w:ascii="Open Sans" w:eastAsia="Times New Roman" w:hAnsi="Open Sans" w:cs="Open Sans"/>
          <w:color w:val="444444"/>
          <w:kern w:val="0"/>
          <w:sz w:val="21"/>
          <w:szCs w:val="21"/>
          <w:lang w:eastAsia="ru-RU"/>
          <w14:ligatures w14:val="none"/>
        </w:rPr>
        <w:lastRenderedPageBreak/>
        <w:t>рентгенограммы,</w:t>
      </w:r>
      <w:r w:rsidRPr="00FC08E0">
        <w:rPr>
          <w:rFonts w:ascii="Open Sans" w:eastAsia="Times New Roman" w:hAnsi="Open Sans" w:cs="Open Sans"/>
          <w:color w:val="444444"/>
          <w:kern w:val="0"/>
          <w:sz w:val="21"/>
          <w:szCs w:val="21"/>
          <w:lang w:eastAsia="ru-RU"/>
          <w14:ligatures w14:val="none"/>
        </w:rPr>
        <w:br/>
        <w:t>б — заключения операторов о качестве стыкового шва по одной гамма-грамме</w:t>
      </w:r>
    </w:p>
    <w:p w14:paraId="5821A773"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Исследованиями установлено, что при радиографическом контроле потенциальная надежность оператора во многом обусловливается физиологическими особенностями его зрительного аппарата. Например, в зависимости от зрительных способностей операторы поразному оценивают чувствительность снимка (рис. 6.10, а) или качество шва по одному и тому же гамма-снимку (рис. 6.10, б). Большая дисперсия чувствительности рентгенографов к градиенту оптической плотности изображений на снимках приводит к тому, что с надежностью 0,9 обнаруживаются лишь те дефекты, характеристический размер которых в 2...5 раз превышает характеристический размер минимальной уверенно выявляемой канавки (минимального диаметра проволоки) эталона по ГОСТ 7512 - 82.</w:t>
      </w:r>
      <w:r w:rsidRPr="00FC08E0">
        <w:rPr>
          <w:rFonts w:ascii="Open Sans" w:eastAsia="Times New Roman" w:hAnsi="Open Sans" w:cs="Open Sans"/>
          <w:color w:val="444444"/>
          <w:kern w:val="0"/>
          <w:sz w:val="21"/>
          <w:szCs w:val="21"/>
          <w:lang w:eastAsia="ru-RU"/>
          <w14:ligatures w14:val="none"/>
        </w:rPr>
        <w:br/>
        <w:t>При ультразвуковом контроле со сканированием сварного соединения вручную потенциальная надежность оператора заложена в усвоенных им навыках точно воспроизводить заданные параметры сканирования. Именно нарушением этих параметров объясняется пропуск дефектов малой протяженности, характеристический размер которых равен или превышает предельную чувствительность. Установлено, что вероятность обнаружения дефектов протяженностью около 10 мм и более (характеристический размер которых превышает предельную чувствительность метода) квалифицированным оператором практически всегда близка к единице; вероятность обнаружения округлых компактных дефектов в зависимости от навыков оператора составляет 0,3...0,98.</w:t>
      </w:r>
      <w:r w:rsidRPr="00FC08E0">
        <w:rPr>
          <w:rFonts w:ascii="Open Sans" w:eastAsia="Times New Roman" w:hAnsi="Open Sans" w:cs="Open Sans"/>
          <w:color w:val="444444"/>
          <w:kern w:val="0"/>
          <w:sz w:val="21"/>
          <w:szCs w:val="21"/>
          <w:lang w:eastAsia="ru-RU"/>
          <w14:ligatures w14:val="none"/>
        </w:rPr>
        <w:br/>
        <w:t>Повышению надежности оператора при любом методе НК способствуют: отбор лиц на должности операторов по специальным тестам, их систематическая переаттестация, введение в алгоритм работы оператора операций самоконтроля с использованием «образцов брака», а в систему контроля — инспекционного контроля и контроля каждого объекта независимо несколькими операторами.</w:t>
      </w:r>
      <w:r w:rsidRPr="00FC08E0">
        <w:rPr>
          <w:rFonts w:ascii="Open Sans" w:eastAsia="Times New Roman" w:hAnsi="Open Sans" w:cs="Open Sans"/>
          <w:color w:val="444444"/>
          <w:kern w:val="0"/>
          <w:sz w:val="21"/>
          <w:szCs w:val="21"/>
          <w:lang w:eastAsia="ru-RU"/>
          <w14:ligatures w14:val="none"/>
        </w:rPr>
        <w:br/>
        <w:t>Надежность оператора в свою очередь должна зависеть от деловой комфортности среды, в которой выполняется контроль. Поэтому характеристику Роп(tp) надежности оператора следует относить к определенной среде, в которой будет выполняться контроль. На практике заданная среда может воспроизводиться с вероятностью Рср (tр).</w:t>
      </w:r>
      <w:r w:rsidRPr="00FC08E0">
        <w:rPr>
          <w:rFonts w:ascii="Open Sans" w:eastAsia="Times New Roman" w:hAnsi="Open Sans" w:cs="Open Sans"/>
          <w:color w:val="444444"/>
          <w:kern w:val="0"/>
          <w:sz w:val="21"/>
          <w:szCs w:val="21"/>
          <w:lang w:eastAsia="ru-RU"/>
          <w14:ligatures w14:val="none"/>
        </w:rPr>
        <w:br/>
        <w:t>В процессе контроля, даже при верной настройке аппаратуры, могут меняться ее основные параметры. Вероятность Рд(tр) сохранения аппаратурой заданных основных параметров контроля в течение планируемого времени tp выполнения контроля в заданных условиях (среде) характеризует надежность дефектоскопа.</w:t>
      </w:r>
    </w:p>
    <w:p w14:paraId="1E21C929" w14:textId="627A429B"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noProof/>
          <w:color w:val="444444"/>
          <w:kern w:val="0"/>
          <w:sz w:val="21"/>
          <w:szCs w:val="21"/>
          <w:lang w:eastAsia="ru-RU"/>
          <w14:ligatures w14:val="none"/>
        </w:rPr>
        <w:drawing>
          <wp:inline distT="0" distB="0" distL="0" distR="0" wp14:anchorId="69645173" wp14:editId="2B6F28BA">
            <wp:extent cx="2590800" cy="1524000"/>
            <wp:effectExtent l="0" t="0" r="0" b="0"/>
            <wp:docPr id="714950672"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90800" cy="152400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Рис. 6.11. Эвристическая модель процесса неразрушающего контроля объектов</w:t>
      </w:r>
    </w:p>
    <w:p w14:paraId="112EF055" w14:textId="651ABFB6"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Из изложенного следует необходимость рассматривать надежность метода (варианта метода) неразрушающего контроля как надежность комплекса «дефектоскоп — оператор — среда» (рис. 6.11) [14]. В качестве показателя надежности комплекса «дефектоскоп — оператор» принимают вероятность Рд-оп(tр) осуществления возложенных на комплекс «дефектоскоп — оператор» функций контроля в заданных условиях и времени tp контроля.</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color w:val="444444"/>
          <w:kern w:val="0"/>
          <w:sz w:val="21"/>
          <w:szCs w:val="21"/>
          <w:lang w:eastAsia="ru-RU"/>
          <w14:ligatures w14:val="none"/>
        </w:rPr>
        <w:lastRenderedPageBreak/>
        <w:t>В общем случае вероятности Pд(tp) и Pоп(tp) могут быть взаимозависимы. Действительно, низкая надежность оператора может привести к неправильной настройке дефектоскопа, а низкая надежность дефектоскопа — к снижению надежности оператора. Однако полагая, что в большинстве случаев квалификация, интеллектуальность и волевые качества оператора велики, можно пренебречь взаимной зависимостью Рд(tр), Pоп(tp), Рср(р) и принять, что</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489595F3" wp14:editId="7D815159">
            <wp:extent cx="1943100" cy="236220"/>
            <wp:effectExtent l="0" t="0" r="0" b="0"/>
            <wp:docPr id="930130848"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4310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Тогда априорная вероятность обнаружения дефекта Ds комплексом «дефектоскоп — оператор», использующим вариант </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 (при условии, что Pоп(tp) и Pд(tp), не зависит от Pt(Bs/Mt)), будет равна</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2DA657B5" wp14:editId="16DECAD6">
            <wp:extent cx="2255520" cy="236220"/>
            <wp:effectExtent l="0" t="0" r="0" b="0"/>
            <wp:docPr id="193967600"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5552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Исследования показывают, что при прочих равных условиях вероятность выявления дефектов с равными характеристическими размерами комплексом «дефектоскоп — оператор» зависит и от типа дефекта. Так, при ультразвуковом контроле вероятность обнаружения протяженных дефектов выше, чем компактных при одинаковом характеристическом размере. Поэтому в практике стремятся устанавливать значения вероятностей обнаружения дефектов определенного тип и вида, т.е. значения Pд-оп(B</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/Mt). При контроле объектов системой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использующей t0 вариантов, дефект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может быть выявлен или пропущен каждым из вариантов. Невыявление дефектов каждым из вариантов есть событие случайное и независимое. Вероятность того, что дефект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не будет выявлен ни одним из t0 вариантов, т.е. системой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составляет</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617F78B8" wp14:editId="74FFDC16">
            <wp:extent cx="2095500" cy="449580"/>
            <wp:effectExtent l="0" t="0" r="0" b="7620"/>
            <wp:docPr id="1259623634"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95500" cy="44958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а вероятность выявления</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72470CFF" wp14:editId="428972EE">
            <wp:extent cx="2545080" cy="449580"/>
            <wp:effectExtent l="0" t="0" r="7620" b="7620"/>
            <wp:docPr id="320128138"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45080" cy="44958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Из (6.7) следует, что вероятность обнаружения дефекта системой НК растет с увеличением числа t0 вариантов методов, используемых системой.</w:t>
      </w:r>
      <w:r w:rsidRPr="00FC08E0">
        <w:rPr>
          <w:rFonts w:ascii="Open Sans" w:eastAsia="Times New Roman" w:hAnsi="Open Sans" w:cs="Open Sans"/>
          <w:color w:val="444444"/>
          <w:kern w:val="0"/>
          <w:sz w:val="21"/>
          <w:szCs w:val="21"/>
          <w:lang w:eastAsia="ru-RU"/>
          <w14:ligatures w14:val="none"/>
        </w:rPr>
        <w:br/>
        <w:t>Так, если вероятность обнаружения недопустимой поры в сварном шве при ультразвуковом контроле из-за недостаточной надежности операторов в среднем составляет Рд-оп(Впн/УЗД)»0,6, то при использовании систем НК швов одним (С1), двумя (С2) или тремя (С3) операторами согласно (6.7) будут достигнуты вероятности обнаружения поры Pд-оп(Bпн/C1)=0,6, Рд-оп(Впн/С2)=0,84 и</w:t>
      </w:r>
      <w:r w:rsidRPr="00FC08E0">
        <w:rPr>
          <w:rFonts w:ascii="Open Sans" w:eastAsia="Times New Roman" w:hAnsi="Open Sans" w:cs="Open Sans"/>
          <w:color w:val="444444"/>
          <w:kern w:val="0"/>
          <w:sz w:val="21"/>
          <w:szCs w:val="21"/>
          <w:lang w:eastAsia="ru-RU"/>
          <w14:ligatures w14:val="none"/>
        </w:rPr>
        <w:br/>
        <w:t>Рд-оп(Впн/С3)=0,936.</w:t>
      </w:r>
      <w:r w:rsidRPr="00FC08E0">
        <w:rPr>
          <w:rFonts w:ascii="Open Sans" w:eastAsia="Times New Roman" w:hAnsi="Open Sans" w:cs="Open Sans"/>
          <w:color w:val="444444"/>
          <w:kern w:val="0"/>
          <w:sz w:val="21"/>
          <w:szCs w:val="21"/>
          <w:lang w:eastAsia="ru-RU"/>
          <w14:ligatures w14:val="none"/>
        </w:rPr>
        <w:br/>
        <w:t>Рассуждая аналогично, легко получить выражение для вероятности Pд-оп(Bki/Cj) обнаружения системой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дефекта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т.е. отбраковки объекта, если они имеются в объекте в количестве m</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0:</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2ACA90E4" wp14:editId="0073FD88">
            <wp:extent cx="2522220" cy="266700"/>
            <wp:effectExtent l="0" t="0" r="0" b="0"/>
            <wp:docPr id="73349188"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22220" cy="26670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(6.8)</w:t>
      </w:r>
      <w:r w:rsidRPr="00FC08E0">
        <w:rPr>
          <w:rFonts w:ascii="Open Sans" w:eastAsia="Times New Roman" w:hAnsi="Open Sans" w:cs="Open Sans"/>
          <w:color w:val="444444"/>
          <w:kern w:val="0"/>
          <w:sz w:val="21"/>
          <w:szCs w:val="21"/>
          <w:lang w:eastAsia="ru-RU"/>
          <w14:ligatures w14:val="none"/>
        </w:rPr>
        <w:br/>
        <w:t>Выше отмечалось, что в практике часто ограничиваются делением дефектов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размером </w:t>
      </w:r>
      <w:r w:rsidRPr="00FC08E0">
        <w:rPr>
          <w:rFonts w:ascii="Open Sans" w:eastAsia="Times New Roman" w:hAnsi="Open Sans" w:cs="Open Sans"/>
          <w:i/>
          <w:iCs/>
          <w:color w:val="DD0055"/>
          <w:kern w:val="0"/>
          <w:sz w:val="21"/>
          <w:szCs w:val="21"/>
          <w:lang w:eastAsia="ru-RU"/>
          <w14:ligatures w14:val="none"/>
        </w:rPr>
        <w:t>b</w:t>
      </w:r>
      <w:r w:rsidRPr="00FC08E0">
        <w:rPr>
          <w:rFonts w:ascii="Open Sans" w:eastAsia="Times New Roman" w:hAnsi="Open Sans" w:cs="Open Sans"/>
          <w:color w:val="444444"/>
          <w:kern w:val="0"/>
          <w:sz w:val="21"/>
          <w:szCs w:val="21"/>
          <w:lang w:eastAsia="ru-RU"/>
          <w14:ligatures w14:val="none"/>
        </w:rPr>
        <w:t> на два вида: допустимые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д), когда </w:t>
      </w:r>
      <w:r w:rsidRPr="00FC08E0">
        <w:rPr>
          <w:rFonts w:ascii="Open Sans" w:eastAsia="Times New Roman" w:hAnsi="Open Sans" w:cs="Open Sans"/>
          <w:i/>
          <w:iCs/>
          <w:color w:val="DD0055"/>
          <w:kern w:val="0"/>
          <w:sz w:val="21"/>
          <w:szCs w:val="21"/>
          <w:lang w:eastAsia="ru-RU"/>
          <w14:ligatures w14:val="none"/>
        </w:rPr>
        <w:t>bk</w:t>
      </w:r>
      <w:r w:rsidRPr="00FC08E0">
        <w:rPr>
          <w:rFonts w:ascii="Open Sans" w:eastAsia="Times New Roman" w:hAnsi="Open Sans" w:cs="Open Sans"/>
          <w:color w:val="444444"/>
          <w:kern w:val="0"/>
          <w:sz w:val="21"/>
          <w:szCs w:val="21"/>
          <w:lang w:eastAsia="ru-RU"/>
          <w14:ligatures w14:val="none"/>
        </w:rPr>
        <w:t>&lt;</w:t>
      </w:r>
      <w:r w:rsidRPr="00FC08E0">
        <w:rPr>
          <w:rFonts w:ascii="Open Sans" w:eastAsia="Times New Roman" w:hAnsi="Open Sans" w:cs="Open Sans"/>
          <w:i/>
          <w:iCs/>
          <w:color w:val="DD0055"/>
          <w:kern w:val="0"/>
          <w:sz w:val="21"/>
          <w:szCs w:val="21"/>
          <w:lang w:eastAsia="ru-RU"/>
          <w14:ligatures w14:val="none"/>
        </w:rPr>
        <w:t>bk</w:t>
      </w:r>
      <w:r w:rsidRPr="00FC08E0">
        <w:rPr>
          <w:rFonts w:ascii="Open Sans" w:eastAsia="Times New Roman" w:hAnsi="Open Sans" w:cs="Open Sans"/>
          <w:color w:val="444444"/>
          <w:kern w:val="0"/>
          <w:sz w:val="21"/>
          <w:szCs w:val="21"/>
          <w:lang w:eastAsia="ru-RU"/>
          <w14:ligatures w14:val="none"/>
        </w:rPr>
        <w:t>кр, и недопустимые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 н), когда </w:t>
      </w:r>
      <w:r w:rsidRPr="00FC08E0">
        <w:rPr>
          <w:rFonts w:ascii="Open Sans" w:eastAsia="Times New Roman" w:hAnsi="Open Sans" w:cs="Open Sans"/>
          <w:i/>
          <w:iCs/>
          <w:color w:val="DD0055"/>
          <w:kern w:val="0"/>
          <w:sz w:val="21"/>
          <w:szCs w:val="21"/>
          <w:lang w:eastAsia="ru-RU"/>
          <w14:ligatures w14:val="none"/>
        </w:rPr>
        <w:t>bk</w:t>
      </w:r>
      <w:r w:rsidRPr="00FC08E0">
        <w:rPr>
          <w:rFonts w:ascii="Open Sans" w:eastAsia="Times New Roman" w:hAnsi="Open Sans" w:cs="Open Sans"/>
          <w:color w:val="444444"/>
          <w:kern w:val="0"/>
          <w:sz w:val="21"/>
          <w:szCs w:val="21"/>
          <w:lang w:eastAsia="ru-RU"/>
          <w14:ligatures w14:val="none"/>
        </w:rPr>
        <w:t>³</w:t>
      </w:r>
      <w:r w:rsidRPr="00FC08E0">
        <w:rPr>
          <w:rFonts w:ascii="Open Sans" w:eastAsia="Times New Roman" w:hAnsi="Open Sans" w:cs="Open Sans"/>
          <w:i/>
          <w:iCs/>
          <w:color w:val="DD0055"/>
          <w:kern w:val="0"/>
          <w:sz w:val="21"/>
          <w:szCs w:val="21"/>
          <w:lang w:eastAsia="ru-RU"/>
          <w14:ligatures w14:val="none"/>
        </w:rPr>
        <w:t> bk</w:t>
      </w:r>
      <w:r w:rsidRPr="00FC08E0">
        <w:rPr>
          <w:rFonts w:ascii="Open Sans" w:eastAsia="Times New Roman" w:hAnsi="Open Sans" w:cs="Open Sans"/>
          <w:color w:val="444444"/>
          <w:kern w:val="0"/>
          <w:sz w:val="21"/>
          <w:szCs w:val="21"/>
          <w:lang w:eastAsia="ru-RU"/>
          <w14:ligatures w14:val="none"/>
        </w:rPr>
        <w:t>кр, т.е. на дефекты D</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д и D</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н. Каждому виду дефектов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соответствуют свои распределения φ</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д(S) и φ</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н(S).</w:t>
      </w:r>
      <w:r w:rsidRPr="00FC08E0">
        <w:rPr>
          <w:rFonts w:ascii="Open Sans" w:eastAsia="Times New Roman" w:hAnsi="Open Sans" w:cs="Open Sans"/>
          <w:color w:val="444444"/>
          <w:kern w:val="0"/>
          <w:sz w:val="21"/>
          <w:szCs w:val="21"/>
          <w:lang w:eastAsia="ru-RU"/>
          <w14:ligatures w14:val="none"/>
        </w:rPr>
        <w:br/>
        <w:t>Несмотря на то что S</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д&lt;S</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н, области отдельных значений S</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д и S</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н могут совпадать (см. рис. 6.4).</w:t>
      </w:r>
      <w:r w:rsidRPr="00FC08E0">
        <w:rPr>
          <w:rFonts w:ascii="Open Sans" w:eastAsia="Times New Roman" w:hAnsi="Open Sans" w:cs="Open Sans"/>
          <w:color w:val="444444"/>
          <w:kern w:val="0"/>
          <w:sz w:val="21"/>
          <w:szCs w:val="21"/>
          <w:lang w:eastAsia="ru-RU"/>
          <w14:ligatures w14:val="none"/>
        </w:rPr>
        <w:br/>
        <w:t>Последнее, в зависимости от значения предельной чувствительности Sп</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 варианта контроля </w:t>
      </w:r>
      <w:r w:rsidRPr="00FC08E0">
        <w:rPr>
          <w:rFonts w:ascii="Open Sans" w:eastAsia="Times New Roman" w:hAnsi="Open Sans" w:cs="Open Sans"/>
          <w:i/>
          <w:iCs/>
          <w:color w:val="DD0055"/>
          <w:kern w:val="0"/>
          <w:sz w:val="21"/>
          <w:szCs w:val="21"/>
          <w:lang w:eastAsia="ru-RU"/>
          <w14:ligatures w14:val="none"/>
        </w:rPr>
        <w:t>t</w:t>
      </w:r>
      <w:r w:rsidRPr="00FC08E0">
        <w:rPr>
          <w:rFonts w:ascii="Open Sans" w:eastAsia="Times New Roman" w:hAnsi="Open Sans" w:cs="Open Sans"/>
          <w:color w:val="444444"/>
          <w:kern w:val="0"/>
          <w:sz w:val="21"/>
          <w:szCs w:val="21"/>
          <w:lang w:eastAsia="ru-RU"/>
          <w14:ligatures w14:val="none"/>
        </w:rPr>
        <w:t>, может привести к случайному пропуску недопустимых (недобраковка) или выявлению допустимых (перебраковка) дефектов типа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t>Вероятности недобраковки Рд-оп(</w:t>
      </w:r>
      <w:r w:rsidRPr="00FC08E0">
        <w:rPr>
          <w:rFonts w:ascii="Open Sans" w:eastAsia="Times New Roman" w:hAnsi="Open Sans" w:cs="Open Sans"/>
          <w:i/>
          <w:iCs/>
          <w:color w:val="DD0055"/>
          <w:kern w:val="0"/>
          <w:sz w:val="21"/>
          <w:szCs w:val="21"/>
          <w:lang w:eastAsia="ru-RU"/>
          <w14:ligatures w14:val="none"/>
        </w:rPr>
        <w:t>Hk</w:t>
      </w:r>
      <w:r w:rsidRPr="00FC08E0">
        <w:rPr>
          <w:rFonts w:ascii="Open Sans" w:eastAsia="Times New Roman" w:hAnsi="Open Sans" w:cs="Open Sans"/>
          <w:color w:val="444444"/>
          <w:kern w:val="0"/>
          <w:sz w:val="21"/>
          <w:szCs w:val="21"/>
          <w:lang w:eastAsia="ru-RU"/>
          <w14:ligatures w14:val="none"/>
        </w:rPr>
        <w:t>н/Сj) и перебраковки Рд-оп(</w:t>
      </w:r>
      <w:r w:rsidRPr="00FC08E0">
        <w:rPr>
          <w:rFonts w:ascii="Open Sans" w:eastAsia="Times New Roman" w:hAnsi="Open Sans" w:cs="Open Sans"/>
          <w:i/>
          <w:iCs/>
          <w:color w:val="DD0055"/>
          <w:kern w:val="0"/>
          <w:sz w:val="21"/>
          <w:szCs w:val="21"/>
          <w:lang w:eastAsia="ru-RU"/>
          <w14:ligatures w14:val="none"/>
        </w:rPr>
        <w:t>Пk</w:t>
      </w:r>
      <w:r w:rsidRPr="00FC08E0">
        <w:rPr>
          <w:rFonts w:ascii="Open Sans" w:eastAsia="Times New Roman" w:hAnsi="Open Sans" w:cs="Open Sans"/>
          <w:color w:val="444444"/>
          <w:kern w:val="0"/>
          <w:sz w:val="21"/>
          <w:szCs w:val="21"/>
          <w:lang w:eastAsia="ru-RU"/>
          <w14:ligatures w14:val="none"/>
        </w:rPr>
        <w:t xml:space="preserve">д/Сj) в какой-то мере </w:t>
      </w:r>
      <w:r w:rsidRPr="00FC08E0">
        <w:rPr>
          <w:rFonts w:ascii="Open Sans" w:eastAsia="Times New Roman" w:hAnsi="Open Sans" w:cs="Open Sans"/>
          <w:color w:val="444444"/>
          <w:kern w:val="0"/>
          <w:sz w:val="21"/>
          <w:szCs w:val="21"/>
          <w:lang w:eastAsia="ru-RU"/>
          <w14:ligatures w14:val="none"/>
        </w:rPr>
        <w:lastRenderedPageBreak/>
        <w:t>характеризуют риск потребителя и риск поставщика соответственно. Вероятные убытки потребителя и поставщика, обусловленные недостаточной разрешающей способностью системы или ее недостаточной помехоустойчивостью, могут быть оценены, если известны стоимость убытков из-за недобраковки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и перебраковки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 объекта.</w:t>
      </w:r>
      <w:r w:rsidRPr="00FC08E0">
        <w:rPr>
          <w:rFonts w:ascii="Open Sans" w:eastAsia="Times New Roman" w:hAnsi="Open Sans" w:cs="Open Sans"/>
          <w:color w:val="444444"/>
          <w:kern w:val="0"/>
          <w:sz w:val="21"/>
          <w:szCs w:val="21"/>
          <w:lang w:eastAsia="ru-RU"/>
          <w14:ligatures w14:val="none"/>
        </w:rPr>
        <w:br/>
        <w:t>Из рис. 6.4 следует [18]:</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38255737" wp14:editId="2273EAFA">
            <wp:extent cx="2369820" cy="990600"/>
            <wp:effectExtent l="0" t="0" r="0" b="0"/>
            <wp:docPr id="1823973899"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69820" cy="990600"/>
                    </a:xfrm>
                    <a:prstGeom prst="rect">
                      <a:avLst/>
                    </a:prstGeom>
                    <a:noFill/>
                    <a:ln>
                      <a:noFill/>
                    </a:ln>
                  </pic:spPr>
                </pic:pic>
              </a:graphicData>
            </a:graphic>
          </wp:inline>
        </w:drawing>
      </w:r>
    </w:p>
    <w:p w14:paraId="50C69677"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Изложенная математическая формализация потенциальной опасности дефектов, процессов их образования (дефектности) и процессов дефектоскопирования позволяет применить единые характеристики для различных методов НК и обосновать алгоритм формирования эффективных систем НК различных объектов.</w:t>
      </w:r>
    </w:p>
    <w:p w14:paraId="6D8725CD" w14:textId="3F46D8E0"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8" w:name="_Toc322119683"/>
      <w:r w:rsidRPr="00FC08E0">
        <w:rPr>
          <w:rFonts w:ascii="Open Sans" w:eastAsia="Times New Roman" w:hAnsi="Open Sans" w:cs="Open Sans"/>
          <w:color w:val="1FA2D6"/>
          <w:kern w:val="0"/>
          <w:sz w:val="21"/>
          <w:szCs w:val="21"/>
          <w:lang w:eastAsia="ru-RU"/>
          <w14:ligatures w14:val="none"/>
        </w:rPr>
        <w:t>§ 6.5. Интегральный критерий эффективности систем неразрушающего контроля</w:t>
      </w:r>
      <w:bookmarkEnd w:id="8"/>
      <w:r w:rsidRPr="00FC08E0">
        <w:rPr>
          <w:rFonts w:ascii="Open Sans" w:eastAsia="Times New Roman" w:hAnsi="Open Sans" w:cs="Open Sans"/>
          <w:color w:val="444444"/>
          <w:kern w:val="0"/>
          <w:sz w:val="21"/>
          <w:szCs w:val="21"/>
          <w:lang w:eastAsia="ru-RU"/>
          <w14:ligatures w14:val="none"/>
        </w:rPr>
        <w:br/>
        <w:t>Основной целью НК следует считать выявление дефектов, устранение которых приводит к повышению эксплуатационной надежности объектов (см. рис. 6.6). При этом не безразлично, какими затратами достигнуто это повышение надежности. В связи с этим в основу оценки эффективности систем НК положен интегральный критерий эффективности </w:t>
      </w:r>
      <w:r w:rsidRPr="00FC08E0">
        <w:rPr>
          <w:rFonts w:ascii="Open Sans" w:eastAsia="Times New Roman" w:hAnsi="Open Sans" w:cs="Open Sans"/>
          <w:i/>
          <w:iCs/>
          <w:color w:val="DD0055"/>
          <w:kern w:val="0"/>
          <w:sz w:val="21"/>
          <w:szCs w:val="21"/>
          <w:lang w:eastAsia="ru-RU"/>
          <w14:ligatures w14:val="none"/>
        </w:rPr>
        <w:t>Qj</w:t>
      </w:r>
      <w:r w:rsidRPr="00FC08E0">
        <w:rPr>
          <w:rFonts w:ascii="Open Sans" w:eastAsia="Times New Roman" w:hAnsi="Open Sans" w:cs="Open Sans"/>
          <w:color w:val="444444"/>
          <w:kern w:val="0"/>
          <w:sz w:val="21"/>
          <w:szCs w:val="21"/>
          <w:lang w:eastAsia="ru-RU"/>
          <w14:ligatures w14:val="none"/>
        </w:rPr>
        <w:t>, рассмотренный в § 6.1 и отражающий соотношение технической эффективности </w:t>
      </w:r>
      <w:r w:rsidRPr="00FC08E0">
        <w:rPr>
          <w:rFonts w:ascii="Open Sans" w:eastAsia="Times New Roman" w:hAnsi="Open Sans" w:cs="Open Sans"/>
          <w:i/>
          <w:iCs/>
          <w:color w:val="DD0055"/>
          <w:kern w:val="0"/>
          <w:sz w:val="21"/>
          <w:szCs w:val="21"/>
          <w:lang w:eastAsia="ru-RU"/>
          <w14:ligatures w14:val="none"/>
        </w:rPr>
        <w:t>Gj</w:t>
      </w:r>
      <w:r w:rsidRPr="00FC08E0">
        <w:rPr>
          <w:rFonts w:ascii="Open Sans" w:eastAsia="Times New Roman" w:hAnsi="Open Sans" w:cs="Open Sans"/>
          <w:color w:val="444444"/>
          <w:kern w:val="0"/>
          <w:sz w:val="21"/>
          <w:szCs w:val="21"/>
          <w:lang w:eastAsia="ru-RU"/>
          <w14:ligatures w14:val="none"/>
        </w:rPr>
        <w:t> системы </w:t>
      </w:r>
      <w:r w:rsidRPr="00FC08E0">
        <w:rPr>
          <w:rFonts w:ascii="Open Sans" w:eastAsia="Times New Roman" w:hAnsi="Open Sans" w:cs="Open Sans"/>
          <w:i/>
          <w:iCs/>
          <w:color w:val="DD0055"/>
          <w:kern w:val="0"/>
          <w:sz w:val="21"/>
          <w:szCs w:val="21"/>
          <w:lang w:eastAsia="ru-RU"/>
          <w14:ligatures w14:val="none"/>
        </w:rPr>
        <w:t>Сj</w:t>
      </w:r>
      <w:r w:rsidRPr="00FC08E0">
        <w:rPr>
          <w:rFonts w:ascii="Open Sans" w:eastAsia="Times New Roman" w:hAnsi="Open Sans" w:cs="Open Sans"/>
          <w:color w:val="444444"/>
          <w:kern w:val="0"/>
          <w:sz w:val="21"/>
          <w:szCs w:val="21"/>
          <w:lang w:eastAsia="ru-RU"/>
          <w14:ligatures w14:val="none"/>
        </w:rPr>
        <w:t> и суммарных затрат Э</w:t>
      </w:r>
      <w:r w:rsidRPr="00FC08E0">
        <w:rPr>
          <w:rFonts w:ascii="Open Sans" w:eastAsia="Times New Roman" w:hAnsi="Open Sans" w:cs="Open Sans"/>
          <w:i/>
          <w:iCs/>
          <w:color w:val="DD0055"/>
          <w:kern w:val="0"/>
          <w:sz w:val="21"/>
          <w:szCs w:val="21"/>
          <w:lang w:eastAsia="ru-RU"/>
          <w14:ligatures w14:val="none"/>
        </w:rPr>
        <w:t>Σj</w:t>
      </w:r>
      <w:r w:rsidRPr="00FC08E0">
        <w:rPr>
          <w:rFonts w:ascii="Open Sans" w:eastAsia="Times New Roman" w:hAnsi="Open Sans" w:cs="Open Sans"/>
          <w:color w:val="444444"/>
          <w:kern w:val="0"/>
          <w:sz w:val="21"/>
          <w:szCs w:val="21"/>
          <w:lang w:eastAsia="ru-RU"/>
          <w14:ligatures w14:val="none"/>
        </w:rPr>
        <w:t>, за счет которых достигается техническая эффективность (</w:t>
      </w:r>
      <w:r w:rsidRPr="00FC08E0">
        <w:rPr>
          <w:rFonts w:ascii="Open Sans" w:eastAsia="Times New Roman" w:hAnsi="Open Sans" w:cs="Open Sans"/>
          <w:i/>
          <w:iCs/>
          <w:color w:val="DD0055"/>
          <w:kern w:val="0"/>
          <w:sz w:val="21"/>
          <w:szCs w:val="21"/>
          <w:lang w:eastAsia="ru-RU"/>
          <w14:ligatures w14:val="none"/>
        </w:rPr>
        <w:t>Qj</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 Gj</w:t>
      </w:r>
      <w:r w:rsidRPr="00FC08E0">
        <w:rPr>
          <w:rFonts w:ascii="Open Sans" w:eastAsia="Times New Roman" w:hAnsi="Open Sans" w:cs="Open Sans"/>
          <w:color w:val="444444"/>
          <w:kern w:val="0"/>
          <w:sz w:val="21"/>
          <w:szCs w:val="21"/>
          <w:lang w:eastAsia="ru-RU"/>
          <w14:ligatures w14:val="none"/>
        </w:rPr>
        <w:t>/Э</w:t>
      </w:r>
      <w:r w:rsidRPr="00FC08E0">
        <w:rPr>
          <w:rFonts w:ascii="Open Sans" w:eastAsia="Times New Roman" w:hAnsi="Open Sans" w:cs="Open Sans"/>
          <w:i/>
          <w:iCs/>
          <w:color w:val="DD0055"/>
          <w:kern w:val="0"/>
          <w:sz w:val="21"/>
          <w:szCs w:val="21"/>
          <w:lang w:eastAsia="ru-RU"/>
          <w14:ligatures w14:val="none"/>
        </w:rPr>
        <w:t>Σj</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t>В качестве меры технической эффективности </w:t>
      </w:r>
      <w:r w:rsidRPr="00FC08E0">
        <w:rPr>
          <w:rFonts w:ascii="Open Sans" w:eastAsia="Times New Roman" w:hAnsi="Open Sans" w:cs="Open Sans"/>
          <w:i/>
          <w:iCs/>
          <w:color w:val="DD0055"/>
          <w:kern w:val="0"/>
          <w:sz w:val="21"/>
          <w:szCs w:val="21"/>
          <w:lang w:eastAsia="ru-RU"/>
          <w14:ligatures w14:val="none"/>
        </w:rPr>
        <w:t>Gj</w:t>
      </w:r>
      <w:r w:rsidRPr="00FC08E0">
        <w:rPr>
          <w:rFonts w:ascii="Open Sans" w:eastAsia="Times New Roman" w:hAnsi="Open Sans" w:cs="Open Sans"/>
          <w:color w:val="444444"/>
          <w:kern w:val="0"/>
          <w:sz w:val="21"/>
          <w:szCs w:val="21"/>
          <w:lang w:eastAsia="ru-RU"/>
          <w14:ligatures w14:val="none"/>
        </w:rPr>
        <w:t> системы </w:t>
      </w:r>
      <w:r w:rsidRPr="00FC08E0">
        <w:rPr>
          <w:rFonts w:ascii="Open Sans" w:eastAsia="Times New Roman" w:hAnsi="Open Sans" w:cs="Open Sans"/>
          <w:i/>
          <w:iCs/>
          <w:color w:val="DD0055"/>
          <w:kern w:val="0"/>
          <w:sz w:val="21"/>
          <w:szCs w:val="21"/>
          <w:lang w:eastAsia="ru-RU"/>
          <w14:ligatures w14:val="none"/>
        </w:rPr>
        <w:t>Сj</w:t>
      </w:r>
      <w:r w:rsidRPr="00FC08E0">
        <w:rPr>
          <w:rFonts w:ascii="Open Sans" w:eastAsia="Times New Roman" w:hAnsi="Open Sans" w:cs="Open Sans"/>
          <w:color w:val="444444"/>
          <w:kern w:val="0"/>
          <w:sz w:val="21"/>
          <w:szCs w:val="21"/>
          <w:lang w:eastAsia="ru-RU"/>
          <w14:ligatures w14:val="none"/>
        </w:rPr>
        <w:t> может служить приращение Δ</w:t>
      </w:r>
      <w:r w:rsidRPr="00FC08E0">
        <w:rPr>
          <w:rFonts w:ascii="Open Sans" w:eastAsia="Times New Roman" w:hAnsi="Open Sans" w:cs="Open Sans"/>
          <w:i/>
          <w:iCs/>
          <w:color w:val="DD0055"/>
          <w:kern w:val="0"/>
          <w:sz w:val="21"/>
          <w:szCs w:val="21"/>
          <w:lang w:eastAsia="ru-RU"/>
          <w14:ligatures w14:val="none"/>
        </w:rPr>
        <w:t>Нj</w:t>
      </w:r>
      <w:r w:rsidRPr="00FC08E0">
        <w:rPr>
          <w:rFonts w:ascii="Open Sans" w:eastAsia="Times New Roman" w:hAnsi="Open Sans" w:cs="Open Sans"/>
          <w:color w:val="444444"/>
          <w:kern w:val="0"/>
          <w:sz w:val="21"/>
          <w:szCs w:val="21"/>
          <w:lang w:eastAsia="ru-RU"/>
          <w14:ligatures w14:val="none"/>
        </w:rPr>
        <w:t>, надежности объектов, обязанное устранению дефектов, выявленных системой (см. рис. 6.6):</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0B8FB166" wp14:editId="5190E8FB">
            <wp:extent cx="1341120" cy="236220"/>
            <wp:effectExtent l="0" t="0" r="0" b="0"/>
            <wp:docPr id="555009192"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4112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(6.9)</w:t>
      </w:r>
      <w:r w:rsidRPr="00FC08E0">
        <w:rPr>
          <w:rFonts w:ascii="Open Sans" w:eastAsia="Times New Roman" w:hAnsi="Open Sans" w:cs="Open Sans"/>
          <w:color w:val="444444"/>
          <w:kern w:val="0"/>
          <w:sz w:val="21"/>
          <w:szCs w:val="21"/>
          <w:lang w:eastAsia="ru-RU"/>
          <w14:ligatures w14:val="none"/>
        </w:rPr>
        <w:br/>
        <w:t>где </w:t>
      </w:r>
      <w:r w:rsidRPr="00FC08E0">
        <w:rPr>
          <w:rFonts w:ascii="Open Sans" w:eastAsia="Times New Roman" w:hAnsi="Open Sans" w:cs="Open Sans"/>
          <w:i/>
          <w:iCs/>
          <w:color w:val="DD0055"/>
          <w:kern w:val="0"/>
          <w:sz w:val="21"/>
          <w:szCs w:val="21"/>
          <w:lang w:eastAsia="ru-RU"/>
          <w14:ligatures w14:val="none"/>
        </w:rPr>
        <w:t>Hj</w:t>
      </w:r>
      <w:r w:rsidRPr="00FC08E0">
        <w:rPr>
          <w:rFonts w:ascii="Open Sans" w:eastAsia="Times New Roman" w:hAnsi="Open Sans" w:cs="Open Sans"/>
          <w:color w:val="444444"/>
          <w:kern w:val="0"/>
          <w:sz w:val="21"/>
          <w:szCs w:val="21"/>
          <w:lang w:eastAsia="ru-RU"/>
          <w14:ligatures w14:val="none"/>
        </w:rPr>
        <w:t> — вероятность невозникновения в объекте аварийной ситуации (надежность объекта) после устранения в нем дефектов, выявленных посредством системы </w:t>
      </w:r>
      <w:r w:rsidRPr="00FC08E0">
        <w:rPr>
          <w:rFonts w:ascii="Open Sans" w:eastAsia="Times New Roman" w:hAnsi="Open Sans" w:cs="Open Sans"/>
          <w:i/>
          <w:iCs/>
          <w:color w:val="DD0055"/>
          <w:kern w:val="0"/>
          <w:sz w:val="21"/>
          <w:szCs w:val="21"/>
          <w:lang w:eastAsia="ru-RU"/>
          <w14:ligatures w14:val="none"/>
        </w:rPr>
        <w:t>Сj</w:t>
      </w:r>
      <w:r w:rsidRPr="00FC08E0">
        <w:rPr>
          <w:rFonts w:ascii="Open Sans" w:eastAsia="Times New Roman" w:hAnsi="Open Sans" w:cs="Open Sans"/>
          <w:color w:val="444444"/>
          <w:kern w:val="0"/>
          <w:sz w:val="21"/>
          <w:szCs w:val="21"/>
          <w:lang w:eastAsia="ru-RU"/>
          <w14:ligatures w14:val="none"/>
        </w:rPr>
        <w:t>;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 надежность того же объекта до контроля, рассчитанная по выражению (6.5).</w:t>
      </w:r>
      <w:r w:rsidRPr="00FC08E0">
        <w:rPr>
          <w:rFonts w:ascii="Open Sans" w:eastAsia="Times New Roman" w:hAnsi="Open Sans" w:cs="Open Sans"/>
          <w:color w:val="444444"/>
          <w:kern w:val="0"/>
          <w:sz w:val="21"/>
          <w:szCs w:val="21"/>
          <w:lang w:eastAsia="ru-RU"/>
          <w14:ligatures w14:val="none"/>
        </w:rPr>
        <w:br/>
        <w:t>Для расчета величины </w:t>
      </w:r>
      <w:r w:rsidRPr="00FC08E0">
        <w:rPr>
          <w:rFonts w:ascii="Open Sans" w:eastAsia="Times New Roman" w:hAnsi="Open Sans" w:cs="Open Sans"/>
          <w:i/>
          <w:iCs/>
          <w:color w:val="DD0055"/>
          <w:kern w:val="0"/>
          <w:sz w:val="21"/>
          <w:szCs w:val="21"/>
          <w:lang w:eastAsia="ru-RU"/>
          <w14:ligatures w14:val="none"/>
        </w:rPr>
        <w:t>Нj</w:t>
      </w:r>
      <w:r w:rsidRPr="00FC08E0">
        <w:rPr>
          <w:rFonts w:ascii="Open Sans" w:eastAsia="Times New Roman" w:hAnsi="Open Sans" w:cs="Open Sans"/>
          <w:color w:val="444444"/>
          <w:kern w:val="0"/>
          <w:sz w:val="21"/>
          <w:szCs w:val="21"/>
          <w:lang w:eastAsia="ru-RU"/>
          <w14:ligatures w14:val="none"/>
        </w:rPr>
        <w:t> достаточно в выражение (6.5) ввести множитель [1 - Pд-оп(B</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/C</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определяющий вероятность пропуска дефекта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с потенциальной опасностью Р(</w:t>
      </w:r>
      <w:r w:rsidRPr="00FC08E0">
        <w:rPr>
          <w:rFonts w:ascii="Open Sans" w:eastAsia="Times New Roman" w:hAnsi="Open Sans" w:cs="Open Sans"/>
          <w:i/>
          <w:iCs/>
          <w:color w:val="DD0055"/>
          <w:kern w:val="0"/>
          <w:sz w:val="21"/>
          <w:szCs w:val="21"/>
          <w:lang w:eastAsia="ru-RU"/>
          <w14:ligatures w14:val="none"/>
        </w:rPr>
        <w:t>Аki</w:t>
      </w:r>
      <w:r w:rsidRPr="00FC08E0">
        <w:rPr>
          <w:rFonts w:ascii="Open Sans" w:eastAsia="Times New Roman" w:hAnsi="Open Sans" w:cs="Open Sans"/>
          <w:color w:val="444444"/>
          <w:kern w:val="0"/>
          <w:sz w:val="21"/>
          <w:szCs w:val="21"/>
          <w:lang w:eastAsia="ru-RU"/>
          <w14:ligatures w14:val="none"/>
        </w:rPr>
        <w:t>) при контроле системой </w:t>
      </w:r>
      <w:r w:rsidRPr="00FC08E0">
        <w:rPr>
          <w:rFonts w:ascii="Open Sans" w:eastAsia="Times New Roman" w:hAnsi="Open Sans" w:cs="Open Sans"/>
          <w:i/>
          <w:iCs/>
          <w:color w:val="DD0055"/>
          <w:kern w:val="0"/>
          <w:sz w:val="21"/>
          <w:szCs w:val="21"/>
          <w:lang w:eastAsia="ru-RU"/>
          <w14:ligatures w14:val="none"/>
        </w:rPr>
        <w:t>Сj</w:t>
      </w:r>
      <w:r w:rsidRPr="00FC08E0">
        <w:rPr>
          <w:rFonts w:ascii="Open Sans" w:eastAsia="Times New Roman" w:hAnsi="Open Sans" w:cs="Open Sans"/>
          <w:color w:val="444444"/>
          <w:kern w:val="0"/>
          <w:sz w:val="21"/>
          <w:szCs w:val="21"/>
          <w:lang w:eastAsia="ru-RU"/>
          <w14:ligatures w14:val="none"/>
        </w:rPr>
        <w:t>. Тогда</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2295566C" wp14:editId="0CD7EA93">
            <wp:extent cx="3345180" cy="502920"/>
            <wp:effectExtent l="0" t="0" r="7620" b="0"/>
            <wp:docPr id="100444756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345180" cy="5029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(6.10)</w:t>
      </w:r>
    </w:p>
    <w:p w14:paraId="74C209C1" w14:textId="0A0A42A5"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Для расчета технической эффективности </w:t>
      </w:r>
      <w:r w:rsidRPr="00FC08E0">
        <w:rPr>
          <w:rFonts w:ascii="Open Sans" w:eastAsia="Times New Roman" w:hAnsi="Open Sans" w:cs="Open Sans"/>
          <w:i/>
          <w:iCs/>
          <w:color w:val="DD0055"/>
          <w:kern w:val="0"/>
          <w:sz w:val="21"/>
          <w:szCs w:val="21"/>
          <w:lang w:eastAsia="ru-RU"/>
          <w14:ligatures w14:val="none"/>
        </w:rPr>
        <w:t>Gj</w:t>
      </w:r>
      <w:r w:rsidRPr="00FC08E0">
        <w:rPr>
          <w:rFonts w:ascii="Open Sans" w:eastAsia="Times New Roman" w:hAnsi="Open Sans" w:cs="Open Sans"/>
          <w:color w:val="444444"/>
          <w:kern w:val="0"/>
          <w:sz w:val="21"/>
          <w:szCs w:val="21"/>
          <w:lang w:eastAsia="ru-RU"/>
          <w14:ligatures w14:val="none"/>
        </w:rPr>
        <w:t> как приращения Δ</w:t>
      </w:r>
      <w:r w:rsidRPr="00FC08E0">
        <w:rPr>
          <w:rFonts w:ascii="Open Sans" w:eastAsia="Times New Roman" w:hAnsi="Open Sans" w:cs="Open Sans"/>
          <w:i/>
          <w:iCs/>
          <w:color w:val="DD0055"/>
          <w:kern w:val="0"/>
          <w:sz w:val="21"/>
          <w:szCs w:val="21"/>
          <w:lang w:eastAsia="ru-RU"/>
          <w14:ligatures w14:val="none"/>
        </w:rPr>
        <w:t>Hj</w:t>
      </w:r>
      <w:r w:rsidRPr="00FC08E0">
        <w:rPr>
          <w:rFonts w:ascii="Open Sans" w:eastAsia="Times New Roman" w:hAnsi="Open Sans" w:cs="Open Sans"/>
          <w:color w:val="444444"/>
          <w:kern w:val="0"/>
          <w:sz w:val="21"/>
          <w:szCs w:val="21"/>
          <w:lang w:eastAsia="ru-RU"/>
          <w14:ligatures w14:val="none"/>
        </w:rPr>
        <w:t> вероятности невозникновения аварийной ситуации относительно исходного значения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необходимо знать: типы и виды (</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)0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которые могут встретиться в объекте, и их потенциальные опасности Р(А</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распределения </w:t>
      </w:r>
      <w:r w:rsidRPr="00FC08E0">
        <w:rPr>
          <w:rFonts w:ascii="Open Sans" w:eastAsia="Times New Roman" w:hAnsi="Open Sans" w:cs="Open Sans"/>
          <w:i/>
          <w:iCs/>
          <w:color w:val="DD0055"/>
          <w:kern w:val="0"/>
          <w:sz w:val="21"/>
          <w:szCs w:val="21"/>
          <w:lang w:eastAsia="ru-RU"/>
          <w14:ligatures w14:val="none"/>
        </w:rPr>
        <w:t>fki</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числа </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в объекте; вероятности Pд-оп(B</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/Mt) обнаружения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вариантами t0 методов Mt, входящими в систему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с учетом надежности комплекса «дефектоскоп — оператор». В общем случае в практике контроля возможно возникновение одной или одновременно нескольких ситуаций:</w:t>
      </w:r>
      <w:r w:rsidRPr="00FC08E0">
        <w:rPr>
          <w:rFonts w:ascii="Open Sans" w:eastAsia="Times New Roman" w:hAnsi="Open Sans" w:cs="Open Sans"/>
          <w:color w:val="444444"/>
          <w:kern w:val="0"/>
          <w:sz w:val="21"/>
          <w:szCs w:val="21"/>
          <w:lang w:eastAsia="ru-RU"/>
          <w14:ligatures w14:val="none"/>
        </w:rPr>
        <w:br/>
        <w:t>а) неизвестны распределения </w:t>
      </w:r>
      <w:r w:rsidRPr="00FC08E0">
        <w:rPr>
          <w:rFonts w:ascii="Open Sans" w:eastAsia="Times New Roman" w:hAnsi="Open Sans" w:cs="Open Sans"/>
          <w:i/>
          <w:iCs/>
          <w:color w:val="DD0055"/>
          <w:kern w:val="0"/>
          <w:sz w:val="21"/>
          <w:szCs w:val="21"/>
          <w:lang w:eastAsia="ru-RU"/>
          <w14:ligatures w14:val="none"/>
        </w:rPr>
        <w:t>fki</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При этом </w:t>
      </w:r>
      <w:r w:rsidRPr="00FC08E0">
        <w:rPr>
          <w:rFonts w:ascii="Open Sans" w:eastAsia="Times New Roman" w:hAnsi="Open Sans" w:cs="Open Sans"/>
          <w:i/>
          <w:iCs/>
          <w:color w:val="DD0055"/>
          <w:kern w:val="0"/>
          <w:sz w:val="21"/>
          <w:szCs w:val="21"/>
          <w:lang w:eastAsia="ru-RU"/>
          <w14:ligatures w14:val="none"/>
        </w:rPr>
        <w:t>fki</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допустимо заменить обычно известными значениями </w:t>
      </w:r>
      <w:r w:rsidRPr="00FC08E0">
        <w:rPr>
          <w:rFonts w:ascii="Open Sans" w:eastAsia="Times New Roman" w:hAnsi="Open Sans" w:cs="Open Sans"/>
          <w:i/>
          <w:iCs/>
          <w:color w:val="DD0055"/>
          <w:kern w:val="0"/>
          <w:sz w:val="21"/>
          <w:szCs w:val="21"/>
          <w:lang w:eastAsia="ru-RU"/>
          <w14:ligatures w14:val="none"/>
        </w:rPr>
        <w:t>fki</w:t>
      </w:r>
      <w:r w:rsidRPr="00FC08E0">
        <w:rPr>
          <w:rFonts w:ascii="Open Sans" w:eastAsia="Times New Roman" w:hAnsi="Open Sans" w:cs="Open Sans"/>
          <w:color w:val="444444"/>
          <w:kern w:val="0"/>
          <w:sz w:val="21"/>
          <w:szCs w:val="21"/>
          <w:lang w:eastAsia="ru-RU"/>
          <w14:ligatures w14:val="none"/>
        </w:rPr>
        <w:t>(0) и </w:t>
      </w:r>
      <w:r w:rsidRPr="00FC08E0">
        <w:rPr>
          <w:rFonts w:ascii="Open Sans" w:eastAsia="Times New Roman" w:hAnsi="Open Sans" w:cs="Open Sans"/>
          <w:i/>
          <w:iCs/>
          <w:color w:val="DD0055"/>
          <w:kern w:val="0"/>
          <w:sz w:val="21"/>
          <w:szCs w:val="21"/>
          <w:lang w:eastAsia="ru-RU"/>
          <w14:ligatures w14:val="none"/>
        </w:rPr>
        <w:t>fki</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noProof/>
          <w:color w:val="DD0055"/>
          <w:kern w:val="0"/>
          <w:sz w:val="21"/>
          <w:szCs w:val="21"/>
          <w:lang w:eastAsia="ru-RU"/>
          <w14:ligatures w14:val="none"/>
        </w:rPr>
        <w:drawing>
          <wp:inline distT="0" distB="0" distL="0" distR="0" wp14:anchorId="562121D5" wp14:editId="52546096">
            <wp:extent cx="160020" cy="182880"/>
            <wp:effectExtent l="0" t="0" r="0" b="7620"/>
            <wp:docPr id="807128481"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0020" cy="18288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где </w:t>
      </w:r>
      <w:r w:rsidRPr="00FC08E0">
        <w:rPr>
          <w:rFonts w:ascii="Open Sans" w:eastAsia="Times New Roman" w:hAnsi="Open Sans" w:cs="Open Sans"/>
          <w:i/>
          <w:iCs/>
          <w:noProof/>
          <w:color w:val="DD0055"/>
          <w:kern w:val="0"/>
          <w:sz w:val="21"/>
          <w:szCs w:val="21"/>
          <w:lang w:eastAsia="ru-RU"/>
          <w14:ligatures w14:val="none"/>
        </w:rPr>
        <w:drawing>
          <wp:inline distT="0" distB="0" distL="0" distR="0" wp14:anchorId="501BD5D9" wp14:editId="00613E48">
            <wp:extent cx="160020" cy="182880"/>
            <wp:effectExtent l="0" t="0" r="0" b="7620"/>
            <wp:docPr id="140276968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0020" cy="18288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наиболее вероятное для данного объекта число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t>б) неизвестны значения потенциальной опасности Р(А</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xml:space="preserve">), но известны (или приняты) </w:t>
      </w:r>
      <w:r w:rsidRPr="00FC08E0">
        <w:rPr>
          <w:rFonts w:ascii="Open Sans" w:eastAsia="Times New Roman" w:hAnsi="Open Sans" w:cs="Open Sans"/>
          <w:color w:val="444444"/>
          <w:kern w:val="0"/>
          <w:sz w:val="21"/>
          <w:szCs w:val="21"/>
          <w:lang w:eastAsia="ru-RU"/>
          <w14:ligatures w14:val="none"/>
        </w:rPr>
        <w:lastRenderedPageBreak/>
        <w:t>значения коэффициентов опасности r</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дефектов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При этом значения Р(А</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заменяют условными значениями Р*(А</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рассчитываемыми по (2.2);</w:t>
      </w:r>
      <w:r w:rsidRPr="00FC08E0">
        <w:rPr>
          <w:rFonts w:ascii="Open Sans" w:eastAsia="Times New Roman" w:hAnsi="Open Sans" w:cs="Open Sans"/>
          <w:color w:val="444444"/>
          <w:kern w:val="0"/>
          <w:sz w:val="21"/>
          <w:szCs w:val="21"/>
          <w:lang w:eastAsia="ru-RU"/>
          <w14:ligatures w14:val="none"/>
        </w:rPr>
        <w:br/>
        <w:t>в) неизвестны значения Р(А</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и r</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все дефекты условно разделяют на два вида: допустимые и недопустимые. При этом первым приписывается Р(Ад)=0, а вторым Р(Ан)»1;</w:t>
      </w:r>
      <w:r w:rsidRPr="00FC08E0">
        <w:rPr>
          <w:rFonts w:ascii="Open Sans" w:eastAsia="Times New Roman" w:hAnsi="Open Sans" w:cs="Open Sans"/>
          <w:color w:val="444444"/>
          <w:kern w:val="0"/>
          <w:sz w:val="21"/>
          <w:szCs w:val="21"/>
          <w:lang w:eastAsia="ru-RU"/>
          <w14:ligatures w14:val="none"/>
        </w:rPr>
        <w:br/>
        <w:t>г) отсутствуют значения Pд-оп(B</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/Mt) для рассматриваемых объектов и им аналогичных. Тогда величины Pд-оп(B</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/Mt) для каждого выбранного метода должны быть установлены экспериментально.</w:t>
      </w:r>
      <w:r w:rsidRPr="00FC08E0">
        <w:rPr>
          <w:rFonts w:ascii="Open Sans" w:eastAsia="Times New Roman" w:hAnsi="Open Sans" w:cs="Open Sans"/>
          <w:color w:val="444444"/>
          <w:kern w:val="0"/>
          <w:sz w:val="21"/>
          <w:szCs w:val="21"/>
          <w:lang w:eastAsia="ru-RU"/>
          <w14:ligatures w14:val="none"/>
        </w:rPr>
        <w:br/>
        <w:t>Формулы для расчета величины </w:t>
      </w:r>
      <w:r w:rsidRPr="00FC08E0">
        <w:rPr>
          <w:rFonts w:ascii="Open Sans" w:eastAsia="Times New Roman" w:hAnsi="Open Sans" w:cs="Open Sans"/>
          <w:i/>
          <w:iCs/>
          <w:color w:val="DD0055"/>
          <w:kern w:val="0"/>
          <w:sz w:val="21"/>
          <w:szCs w:val="21"/>
          <w:lang w:eastAsia="ru-RU"/>
          <w14:ligatures w14:val="none"/>
        </w:rPr>
        <w:t>Gj</w:t>
      </w:r>
      <w:r w:rsidRPr="00FC08E0">
        <w:rPr>
          <w:rFonts w:ascii="Open Sans" w:eastAsia="Times New Roman" w:hAnsi="Open Sans" w:cs="Open Sans"/>
          <w:color w:val="444444"/>
          <w:kern w:val="0"/>
          <w:sz w:val="21"/>
          <w:szCs w:val="21"/>
          <w:lang w:eastAsia="ru-RU"/>
          <w14:ligatures w14:val="none"/>
        </w:rPr>
        <w:t> с учетом изложенных ситуаций приведены в табл. 6.4.</w:t>
      </w:r>
      <w:r w:rsidRPr="00FC08E0">
        <w:rPr>
          <w:rFonts w:ascii="Open Sans" w:eastAsia="Times New Roman" w:hAnsi="Open Sans" w:cs="Open Sans"/>
          <w:color w:val="444444"/>
          <w:kern w:val="0"/>
          <w:sz w:val="21"/>
          <w:szCs w:val="21"/>
          <w:lang w:eastAsia="ru-RU"/>
          <w14:ligatures w14:val="none"/>
        </w:rPr>
        <w:br/>
        <w:t>Стоимость системы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приемочного контроля определяется суммарными затратами Э</w:t>
      </w:r>
      <w:r w:rsidRPr="00FC08E0">
        <w:rPr>
          <w:rFonts w:ascii="Open Sans" w:eastAsia="Times New Roman" w:hAnsi="Open Sans" w:cs="Open Sans"/>
          <w:i/>
          <w:iCs/>
          <w:color w:val="DD0055"/>
          <w:kern w:val="0"/>
          <w:sz w:val="21"/>
          <w:szCs w:val="21"/>
          <w:lang w:eastAsia="ru-RU"/>
          <w14:ligatures w14:val="none"/>
        </w:rPr>
        <w:t>Σj</w:t>
      </w:r>
      <w:r w:rsidRPr="00FC08E0">
        <w:rPr>
          <w:rFonts w:ascii="Open Sans" w:eastAsia="Times New Roman" w:hAnsi="Open Sans" w:cs="Open Sans"/>
          <w:color w:val="444444"/>
          <w:kern w:val="0"/>
          <w:sz w:val="21"/>
          <w:szCs w:val="21"/>
          <w:lang w:eastAsia="ru-RU"/>
          <w14:ligatures w14:val="none"/>
        </w:rPr>
        <w:t> на контроль, в результате которого достигается техническая эффективность </w:t>
      </w:r>
      <w:r w:rsidRPr="00FC08E0">
        <w:rPr>
          <w:rFonts w:ascii="Open Sans" w:eastAsia="Times New Roman" w:hAnsi="Open Sans" w:cs="Open Sans"/>
          <w:i/>
          <w:iCs/>
          <w:color w:val="DD0055"/>
          <w:kern w:val="0"/>
          <w:sz w:val="21"/>
          <w:szCs w:val="21"/>
          <w:lang w:eastAsia="ru-RU"/>
          <w14:ligatures w14:val="none"/>
        </w:rPr>
        <w:t>Gj</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t>Получим затраты Э</w:t>
      </w:r>
      <w:r w:rsidRPr="00FC08E0">
        <w:rPr>
          <w:rFonts w:ascii="Open Sans" w:eastAsia="Times New Roman" w:hAnsi="Open Sans" w:cs="Open Sans"/>
          <w:i/>
          <w:iCs/>
          <w:color w:val="DD0055"/>
          <w:kern w:val="0"/>
          <w:sz w:val="21"/>
          <w:szCs w:val="21"/>
          <w:lang w:eastAsia="ru-RU"/>
          <w14:ligatures w14:val="none"/>
        </w:rPr>
        <w:t>Σ</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56E7CE22" wp14:editId="7BDD35D6">
            <wp:extent cx="1257300" cy="236220"/>
            <wp:effectExtent l="0" t="0" r="0" b="0"/>
            <wp:docPr id="78567375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5730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(6.11)</w:t>
      </w:r>
      <w:r w:rsidRPr="00FC08E0">
        <w:rPr>
          <w:rFonts w:ascii="Open Sans" w:eastAsia="Times New Roman" w:hAnsi="Open Sans" w:cs="Open Sans"/>
          <w:color w:val="444444"/>
          <w:kern w:val="0"/>
          <w:sz w:val="21"/>
          <w:szCs w:val="21"/>
          <w:lang w:eastAsia="ru-RU"/>
          <w14:ligatures w14:val="none"/>
        </w:rPr>
        <w:br/>
        <w:t>где Эk</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стоимость непосредственного контроля с помощью системы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стоимость вспомогательных операций, сопутствующих контролю посредством системы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и стоимость убытков, связанных с прекращением работ на одном или нескольких рабочих местах на время контроля объекта; Эп</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стоимость убытков, связанных с ошибочной браковкой годных объектов.</w:t>
      </w:r>
      <w:r w:rsidRPr="00FC08E0">
        <w:rPr>
          <w:rFonts w:ascii="Open Sans" w:eastAsia="Times New Roman" w:hAnsi="Open Sans" w:cs="Open Sans"/>
          <w:color w:val="444444"/>
          <w:kern w:val="0"/>
          <w:sz w:val="21"/>
          <w:szCs w:val="21"/>
          <w:lang w:eastAsia="ru-RU"/>
          <w14:ligatures w14:val="none"/>
        </w:rPr>
        <w:br/>
        <w:t>Первые два слагаемых учитывают основную и дополнительную зарплату операторов и вспомогательного персонала, а также рабочих в случае их вынужденного простоя, отчисления на социальное страхование и охрану труда, расходы на энергоснабжение и материалы, затраты на амортизацию дефектоскопического оборудования и, по существу, определяют расходы на контроль объекта. Значение (Эk</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для системы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контроля должно устанавливаться путем хронометража конкретного процесса контроля и последующего расчета. В табл. 6.5 в качестве примера приведены данные о стоимости (Эk</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контроля сварных соединений и ремонта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 дефектных участков в условиях заводов.</w:t>
      </w:r>
    </w:p>
    <w:p w14:paraId="52FD1AB0"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r w:rsidRPr="00FC08E0">
        <w:rPr>
          <w:rFonts w:ascii="Open Sans" w:eastAsia="Times New Roman" w:hAnsi="Open Sans" w:cs="Open Sans"/>
          <w:color w:val="444444"/>
          <w:kern w:val="0"/>
          <w:sz w:val="21"/>
          <w:szCs w:val="21"/>
          <w:lang w:eastAsia="ru-RU"/>
          <w14:ligatures w14:val="none"/>
        </w:rPr>
        <w:br w:type="textWrapping" w:clear="all"/>
      </w:r>
    </w:p>
    <w:p w14:paraId="52F5A93A" w14:textId="6901B150"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lastRenderedPageBreak/>
        <w:t>Таблица 6.4</w:t>
      </w:r>
      <w:r w:rsidRPr="00FC08E0">
        <w:rPr>
          <w:rFonts w:ascii="Open Sans" w:eastAsia="Times New Roman" w:hAnsi="Open Sans" w:cs="Open Sans"/>
          <w:color w:val="444444"/>
          <w:kern w:val="0"/>
          <w:sz w:val="21"/>
          <w:szCs w:val="21"/>
          <w:lang w:eastAsia="ru-RU"/>
          <w14:ligatures w14:val="none"/>
        </w:rPr>
        <w:br/>
        <w:t>Формулы для расчета технической эффективности </w:t>
      </w:r>
      <w:r w:rsidRPr="00FC08E0">
        <w:rPr>
          <w:rFonts w:ascii="Open Sans" w:eastAsia="Times New Roman" w:hAnsi="Open Sans" w:cs="Open Sans"/>
          <w:i/>
          <w:iCs/>
          <w:color w:val="DD0055"/>
          <w:kern w:val="0"/>
          <w:sz w:val="21"/>
          <w:szCs w:val="21"/>
          <w:lang w:eastAsia="ru-RU"/>
          <w14:ligatures w14:val="none"/>
        </w:rPr>
        <w:t>G</w:t>
      </w:r>
      <w:r w:rsidRPr="00FC08E0">
        <w:rPr>
          <w:rFonts w:ascii="Open Sans" w:eastAsia="Times New Roman" w:hAnsi="Open Sans" w:cs="Open Sans"/>
          <w:color w:val="444444"/>
          <w:kern w:val="0"/>
          <w:sz w:val="21"/>
          <w:szCs w:val="21"/>
          <w:lang w:eastAsia="ru-RU"/>
          <w14:ligatures w14:val="none"/>
        </w:rPr>
        <w:t>j системы </w:t>
      </w:r>
      <w:r w:rsidRPr="00FC08E0">
        <w:rPr>
          <w:rFonts w:ascii="Open Sans" w:eastAsia="Times New Roman" w:hAnsi="Open Sans" w:cs="Open Sans"/>
          <w:i/>
          <w:iCs/>
          <w:color w:val="DD0055"/>
          <w:kern w:val="0"/>
          <w:sz w:val="21"/>
          <w:szCs w:val="21"/>
          <w:lang w:eastAsia="ru-RU"/>
          <w14:ligatures w14:val="none"/>
        </w:rPr>
        <w:t>С</w:t>
      </w:r>
      <w:r w:rsidRPr="00FC08E0">
        <w:rPr>
          <w:rFonts w:ascii="Open Sans" w:eastAsia="Times New Roman" w:hAnsi="Open Sans" w:cs="Open Sans"/>
          <w:color w:val="444444"/>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15DBC233" wp14:editId="1B1AAA3D">
            <wp:extent cx="5940425" cy="8338185"/>
            <wp:effectExtent l="0" t="0" r="3175" b="5715"/>
            <wp:docPr id="1630268918"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0425" cy="8338185"/>
                    </a:xfrm>
                    <a:prstGeom prst="rect">
                      <a:avLst/>
                    </a:prstGeom>
                    <a:noFill/>
                    <a:ln>
                      <a:noFill/>
                    </a:ln>
                  </pic:spPr>
                </pic:pic>
              </a:graphicData>
            </a:graphic>
          </wp:inline>
        </w:drawing>
      </w:r>
    </w:p>
    <w:p w14:paraId="356A075D"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r w:rsidRPr="00FC08E0">
        <w:rPr>
          <w:rFonts w:ascii="Open Sans" w:eastAsia="Times New Roman" w:hAnsi="Open Sans" w:cs="Open Sans"/>
          <w:color w:val="444444"/>
          <w:kern w:val="0"/>
          <w:sz w:val="21"/>
          <w:szCs w:val="21"/>
          <w:lang w:eastAsia="ru-RU"/>
          <w14:ligatures w14:val="none"/>
        </w:rPr>
        <w:br w:type="textWrapping" w:clear="all"/>
      </w:r>
    </w:p>
    <w:p w14:paraId="3FA946D6" w14:textId="5D0599DA"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lastRenderedPageBreak/>
        <w:t>Продолжение табл. 6.4</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2AB5DBD2" wp14:editId="77C1B339">
            <wp:extent cx="5768340" cy="4998720"/>
            <wp:effectExtent l="0" t="0" r="3810" b="0"/>
            <wp:docPr id="1590822890"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68340" cy="4998720"/>
                    </a:xfrm>
                    <a:prstGeom prst="rect">
                      <a:avLst/>
                    </a:prstGeom>
                    <a:noFill/>
                    <a:ln>
                      <a:noFill/>
                    </a:ln>
                  </pic:spPr>
                </pic:pic>
              </a:graphicData>
            </a:graphic>
          </wp:inline>
        </w:drawing>
      </w:r>
    </w:p>
    <w:p w14:paraId="5C0F6797" w14:textId="4B03CA06"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Затраты Эп</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связанные с ремонтом ошибочно забракованных объектов, могут быть обусловлены следующими причинами: случайной перебраковкой объекта, не содержащего никаких дефектов, из-за недостаточной помехозащищенности системы НК, вероятность перебраковки — Р(ПjI); вынужденной перебраковкой объекта, содержащего допустимые дефекты, которые, однако, по данным системы контроля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не могут быть однозначно отнесены к допустимым, при этом вероятность перебраковки Р(ПjII) определяется вероятностью образования таких дефектов в объекте. Вероятность Р(ПjII) может быть снижена, если развить систему, введя в нее дополнительные методы. Так, вид компактных дефектов, выявленных ультразвуковым методом в стыковых сварных швах, может быть определен по результатам рентгенографирования участков, в которых обнаружены анализируемые дефекты.</w:t>
      </w:r>
      <w:r w:rsidRPr="00FC08E0">
        <w:rPr>
          <w:rFonts w:ascii="Open Sans" w:eastAsia="Times New Roman" w:hAnsi="Open Sans" w:cs="Open Sans"/>
          <w:color w:val="444444"/>
          <w:kern w:val="0"/>
          <w:sz w:val="21"/>
          <w:szCs w:val="21"/>
          <w:lang w:eastAsia="ru-RU"/>
          <w14:ligatures w14:val="none"/>
        </w:rPr>
        <w:br/>
        <w:t>Вероятности Р(ПjI), Р(ПjII) устанавливают статистической обработкой данных НК и металлографического исследования проконтролированных объектов.</w:t>
      </w:r>
      <w:r w:rsidRPr="00FC08E0">
        <w:rPr>
          <w:rFonts w:ascii="Open Sans" w:eastAsia="Times New Roman" w:hAnsi="Open Sans" w:cs="Open Sans"/>
          <w:color w:val="444444"/>
          <w:kern w:val="0"/>
          <w:sz w:val="21"/>
          <w:szCs w:val="21"/>
          <w:lang w:eastAsia="ru-RU"/>
          <w14:ligatures w14:val="none"/>
        </w:rPr>
        <w:br/>
        <w:t>Очевидно, объект можно неперебраковать и по первой и по второй причине. С учетом этого вероятность перебраковки объекта при контроле системой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составит</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1DBED119" wp14:editId="627C061F">
            <wp:extent cx="2438400" cy="228600"/>
            <wp:effectExtent l="0" t="0" r="0" b="0"/>
            <wp:docPr id="138234461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438400" cy="22860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а вероятные убытки от перебраковки</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3C685C56" wp14:editId="15331E30">
            <wp:extent cx="1059180" cy="266700"/>
            <wp:effectExtent l="0" t="0" r="7620" b="0"/>
            <wp:docPr id="146414537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059180" cy="26670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(6.12)</w:t>
      </w:r>
    </w:p>
    <w:p w14:paraId="5606029E"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r w:rsidRPr="00FC08E0">
        <w:rPr>
          <w:rFonts w:ascii="Open Sans" w:eastAsia="Times New Roman" w:hAnsi="Open Sans" w:cs="Open Sans"/>
          <w:color w:val="444444"/>
          <w:kern w:val="0"/>
          <w:sz w:val="21"/>
          <w:szCs w:val="21"/>
          <w:lang w:eastAsia="ru-RU"/>
          <w14:ligatures w14:val="none"/>
        </w:rPr>
        <w:lastRenderedPageBreak/>
        <w:br w:type="textWrapping" w:clear="all"/>
      </w:r>
    </w:p>
    <w:p w14:paraId="3F9F3D6B"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Таблица 6.5 Стоимости контроля (Эk</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методом Mt сварных соединении и ремонта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 дефектного участка в условиях заводов (по данным хронометража на мостовом заводе)</w:t>
      </w:r>
    </w:p>
    <w:tbl>
      <w:tblPr>
        <w:tblW w:w="0" w:type="auto"/>
        <w:shd w:val="clear" w:color="auto" w:fill="FFFFFF"/>
        <w:tblCellMar>
          <w:left w:w="0" w:type="dxa"/>
          <w:right w:w="0" w:type="dxa"/>
        </w:tblCellMar>
        <w:tblLook w:val="04A0" w:firstRow="1" w:lastRow="0" w:firstColumn="1" w:lastColumn="0" w:noHBand="0" w:noVBand="1"/>
      </w:tblPr>
      <w:tblGrid>
        <w:gridCol w:w="1965"/>
        <w:gridCol w:w="2439"/>
        <w:gridCol w:w="2415"/>
        <w:gridCol w:w="2415"/>
      </w:tblGrid>
      <w:tr w:rsidR="00FC08E0" w:rsidRPr="00FC08E0" w14:paraId="78542F73" w14:textId="77777777" w:rsidTr="00FC08E0">
        <w:tc>
          <w:tcPr>
            <w:tcW w:w="1965" w:type="dxa"/>
            <w:vMerge w:val="restart"/>
            <w:shd w:val="clear" w:color="auto" w:fill="FFFFFF"/>
            <w:vAlign w:val="center"/>
            <w:hideMark/>
          </w:tcPr>
          <w:p w14:paraId="5B03F96D" w14:textId="77777777" w:rsidR="00FC08E0" w:rsidRPr="00FC08E0" w:rsidRDefault="00FC08E0" w:rsidP="00FC08E0">
            <w:pPr>
              <w:spacing w:after="0" w:line="240" w:lineRule="auto"/>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br/>
              <w:t>Вид соединения</w:t>
            </w:r>
          </w:p>
        </w:tc>
        <w:tc>
          <w:tcPr>
            <w:tcW w:w="7260" w:type="dxa"/>
            <w:gridSpan w:val="3"/>
            <w:shd w:val="clear" w:color="auto" w:fill="FFFFFF"/>
            <w:vAlign w:val="center"/>
            <w:hideMark/>
          </w:tcPr>
          <w:p w14:paraId="4284B658"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Стоимость, руб.</w:t>
            </w:r>
          </w:p>
        </w:tc>
      </w:tr>
      <w:tr w:rsidR="00FC08E0" w:rsidRPr="00FC08E0" w14:paraId="2682E755" w14:textId="77777777" w:rsidTr="00FC08E0">
        <w:tc>
          <w:tcPr>
            <w:tcW w:w="0" w:type="auto"/>
            <w:vMerge/>
            <w:shd w:val="clear" w:color="auto" w:fill="FFFFFF"/>
            <w:vAlign w:val="center"/>
            <w:hideMark/>
          </w:tcPr>
          <w:p w14:paraId="50AD34AE" w14:textId="77777777" w:rsidR="00FC08E0" w:rsidRPr="00FC08E0" w:rsidRDefault="00FC08E0" w:rsidP="00FC08E0">
            <w:pPr>
              <w:spacing w:after="0" w:line="240" w:lineRule="auto"/>
              <w:rPr>
                <w:rFonts w:ascii="Open Sans" w:eastAsia="Times New Roman" w:hAnsi="Open Sans" w:cs="Open Sans"/>
                <w:color w:val="444444"/>
                <w:kern w:val="0"/>
                <w:sz w:val="21"/>
                <w:szCs w:val="21"/>
                <w:lang w:eastAsia="ru-RU"/>
                <w14:ligatures w14:val="none"/>
              </w:rPr>
            </w:pPr>
          </w:p>
        </w:tc>
        <w:tc>
          <w:tcPr>
            <w:tcW w:w="4845" w:type="dxa"/>
            <w:gridSpan w:val="2"/>
            <w:shd w:val="clear" w:color="auto" w:fill="FFFFFF"/>
            <w:vAlign w:val="center"/>
            <w:hideMark/>
          </w:tcPr>
          <w:p w14:paraId="1FCAD240"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контроля (Эk</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1 м шва методом</w:t>
            </w:r>
          </w:p>
        </w:tc>
        <w:tc>
          <w:tcPr>
            <w:tcW w:w="2415" w:type="dxa"/>
            <w:vMerge w:val="restart"/>
            <w:shd w:val="clear" w:color="auto" w:fill="FFFFFF"/>
            <w:vAlign w:val="center"/>
            <w:hideMark/>
          </w:tcPr>
          <w:p w14:paraId="42F0AF53"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ремонта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 одного дефектного участка</w:t>
            </w:r>
          </w:p>
        </w:tc>
      </w:tr>
      <w:tr w:rsidR="00FC08E0" w:rsidRPr="00FC08E0" w14:paraId="5896E4FB" w14:textId="77777777" w:rsidTr="00FC08E0">
        <w:tc>
          <w:tcPr>
            <w:tcW w:w="0" w:type="auto"/>
            <w:vMerge/>
            <w:shd w:val="clear" w:color="auto" w:fill="FFFFFF"/>
            <w:vAlign w:val="center"/>
            <w:hideMark/>
          </w:tcPr>
          <w:p w14:paraId="06F17C1A" w14:textId="77777777" w:rsidR="00FC08E0" w:rsidRPr="00FC08E0" w:rsidRDefault="00FC08E0" w:rsidP="00FC08E0">
            <w:pPr>
              <w:spacing w:after="0" w:line="240" w:lineRule="auto"/>
              <w:rPr>
                <w:rFonts w:ascii="Open Sans" w:eastAsia="Times New Roman" w:hAnsi="Open Sans" w:cs="Open Sans"/>
                <w:color w:val="444444"/>
                <w:kern w:val="0"/>
                <w:sz w:val="21"/>
                <w:szCs w:val="21"/>
                <w:lang w:eastAsia="ru-RU"/>
                <w14:ligatures w14:val="none"/>
              </w:rPr>
            </w:pPr>
          </w:p>
        </w:tc>
        <w:tc>
          <w:tcPr>
            <w:tcW w:w="2430" w:type="dxa"/>
            <w:shd w:val="clear" w:color="auto" w:fill="FFFFFF"/>
            <w:vAlign w:val="center"/>
            <w:hideMark/>
          </w:tcPr>
          <w:p w14:paraId="7932AB36"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рентгенографирования</w:t>
            </w:r>
          </w:p>
        </w:tc>
        <w:tc>
          <w:tcPr>
            <w:tcW w:w="2415" w:type="dxa"/>
            <w:shd w:val="clear" w:color="auto" w:fill="FFFFFF"/>
            <w:vAlign w:val="center"/>
            <w:hideMark/>
          </w:tcPr>
          <w:p w14:paraId="27DF388B"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УЗД</w:t>
            </w:r>
          </w:p>
        </w:tc>
        <w:tc>
          <w:tcPr>
            <w:tcW w:w="0" w:type="auto"/>
            <w:vMerge/>
            <w:shd w:val="clear" w:color="auto" w:fill="FFFFFF"/>
            <w:vAlign w:val="center"/>
            <w:hideMark/>
          </w:tcPr>
          <w:p w14:paraId="39890523" w14:textId="77777777" w:rsidR="00FC08E0" w:rsidRPr="00FC08E0" w:rsidRDefault="00FC08E0" w:rsidP="00FC08E0">
            <w:pPr>
              <w:spacing w:after="0" w:line="240" w:lineRule="auto"/>
              <w:rPr>
                <w:rFonts w:ascii="Open Sans" w:eastAsia="Times New Roman" w:hAnsi="Open Sans" w:cs="Open Sans"/>
                <w:color w:val="444444"/>
                <w:kern w:val="0"/>
                <w:sz w:val="21"/>
                <w:szCs w:val="21"/>
                <w:lang w:eastAsia="ru-RU"/>
                <w14:ligatures w14:val="none"/>
              </w:rPr>
            </w:pPr>
          </w:p>
        </w:tc>
      </w:tr>
      <w:tr w:rsidR="00FC08E0" w:rsidRPr="00FC08E0" w14:paraId="40BC842C" w14:textId="77777777" w:rsidTr="00FC08E0">
        <w:tc>
          <w:tcPr>
            <w:tcW w:w="1965" w:type="dxa"/>
            <w:shd w:val="clear" w:color="auto" w:fill="FFFFFF"/>
            <w:hideMark/>
          </w:tcPr>
          <w:p w14:paraId="2FDB6626"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Стыковое</w:t>
            </w:r>
            <w:r w:rsidRPr="00FC08E0">
              <w:rPr>
                <w:rFonts w:ascii="Open Sans" w:eastAsia="Times New Roman" w:hAnsi="Open Sans" w:cs="Open Sans"/>
                <w:color w:val="444444"/>
                <w:kern w:val="0"/>
                <w:sz w:val="21"/>
                <w:szCs w:val="21"/>
                <w:lang w:eastAsia="ru-RU"/>
                <w14:ligatures w14:val="none"/>
              </w:rPr>
              <w:br/>
              <w:t>Тавровое</w:t>
            </w:r>
            <w:r w:rsidRPr="00FC08E0">
              <w:rPr>
                <w:rFonts w:ascii="Open Sans" w:eastAsia="Times New Roman" w:hAnsi="Open Sans" w:cs="Open Sans"/>
                <w:color w:val="444444"/>
                <w:kern w:val="0"/>
                <w:sz w:val="21"/>
                <w:szCs w:val="21"/>
                <w:lang w:eastAsia="ru-RU"/>
                <w14:ligatures w14:val="none"/>
              </w:rPr>
              <w:br/>
              <w:t>Внахлестку</w:t>
            </w:r>
          </w:p>
        </w:tc>
        <w:tc>
          <w:tcPr>
            <w:tcW w:w="2430" w:type="dxa"/>
            <w:shd w:val="clear" w:color="auto" w:fill="FFFFFF"/>
            <w:vAlign w:val="center"/>
            <w:hideMark/>
          </w:tcPr>
          <w:p w14:paraId="0EEA880A"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3.3</w:t>
            </w:r>
            <w:r w:rsidRPr="00FC08E0">
              <w:rPr>
                <w:rFonts w:ascii="Open Sans" w:eastAsia="Times New Roman" w:hAnsi="Open Sans" w:cs="Open Sans"/>
                <w:color w:val="444444"/>
                <w:kern w:val="0"/>
                <w:sz w:val="21"/>
                <w:szCs w:val="21"/>
                <w:lang w:eastAsia="ru-RU"/>
                <w14:ligatures w14:val="none"/>
              </w:rPr>
              <w:br/>
              <w:t>6,5</w:t>
            </w:r>
            <w:r w:rsidRPr="00FC08E0">
              <w:rPr>
                <w:rFonts w:ascii="Open Sans" w:eastAsia="Times New Roman" w:hAnsi="Open Sans" w:cs="Open Sans"/>
                <w:color w:val="444444"/>
                <w:kern w:val="0"/>
                <w:sz w:val="21"/>
                <w:szCs w:val="21"/>
                <w:lang w:eastAsia="ru-RU"/>
                <w14:ligatures w14:val="none"/>
              </w:rPr>
              <w:br/>
              <w:t>3,3</w:t>
            </w:r>
          </w:p>
        </w:tc>
        <w:tc>
          <w:tcPr>
            <w:tcW w:w="2415" w:type="dxa"/>
            <w:shd w:val="clear" w:color="auto" w:fill="FFFFFF"/>
            <w:vAlign w:val="center"/>
            <w:hideMark/>
          </w:tcPr>
          <w:p w14:paraId="56719F01"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0,7</w:t>
            </w:r>
            <w:r w:rsidRPr="00FC08E0">
              <w:rPr>
                <w:rFonts w:ascii="Open Sans" w:eastAsia="Times New Roman" w:hAnsi="Open Sans" w:cs="Open Sans"/>
                <w:color w:val="444444"/>
                <w:kern w:val="0"/>
                <w:sz w:val="21"/>
                <w:szCs w:val="21"/>
                <w:lang w:eastAsia="ru-RU"/>
                <w14:ligatures w14:val="none"/>
              </w:rPr>
              <w:br/>
              <w:t>1,5</w:t>
            </w:r>
            <w:r w:rsidRPr="00FC08E0">
              <w:rPr>
                <w:rFonts w:ascii="Open Sans" w:eastAsia="Times New Roman" w:hAnsi="Open Sans" w:cs="Open Sans"/>
                <w:color w:val="444444"/>
                <w:kern w:val="0"/>
                <w:sz w:val="21"/>
                <w:szCs w:val="21"/>
                <w:lang w:eastAsia="ru-RU"/>
                <w14:ligatures w14:val="none"/>
              </w:rPr>
              <w:br/>
              <w:t>0,7</w:t>
            </w:r>
          </w:p>
        </w:tc>
        <w:tc>
          <w:tcPr>
            <w:tcW w:w="2415" w:type="dxa"/>
            <w:shd w:val="clear" w:color="auto" w:fill="FFFFFF"/>
            <w:vAlign w:val="center"/>
            <w:hideMark/>
          </w:tcPr>
          <w:p w14:paraId="5FEDCC1E" w14:textId="77777777" w:rsidR="00FC08E0" w:rsidRPr="00FC08E0" w:rsidRDefault="00FC08E0" w:rsidP="00FC08E0">
            <w:pPr>
              <w:spacing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5,7</w:t>
            </w:r>
          </w:p>
        </w:tc>
      </w:tr>
    </w:tbl>
    <w:p w14:paraId="1B276DB2" w14:textId="2A911304"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Вероятные убытки Эн</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сзязанные с недобраковкой объекта системой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при известной стоимости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аварийной ситуации определяются выражением</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0AAB2830" wp14:editId="00933626">
            <wp:extent cx="2164080" cy="236220"/>
            <wp:effectExtent l="0" t="0" r="7620" b="0"/>
            <wp:docPr id="28982197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16408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(6.13)</w:t>
      </w:r>
      <w:r w:rsidRPr="00FC08E0">
        <w:rPr>
          <w:rFonts w:ascii="Open Sans" w:eastAsia="Times New Roman" w:hAnsi="Open Sans" w:cs="Open Sans"/>
          <w:color w:val="444444"/>
          <w:kern w:val="0"/>
          <w:sz w:val="21"/>
          <w:szCs w:val="21"/>
          <w:lang w:eastAsia="ru-RU"/>
          <w14:ligatures w14:val="none"/>
        </w:rPr>
        <w:br/>
        <w:t>Рассмотренный в § 6.1 алгоритм и приведенные в настоящем разделе выражения для расчета </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0, </w:t>
      </w:r>
      <w:r w:rsidRPr="00FC08E0">
        <w:rPr>
          <w:rFonts w:ascii="Open Sans" w:eastAsia="Times New Roman" w:hAnsi="Open Sans" w:cs="Open Sans"/>
          <w:i/>
          <w:iCs/>
          <w:color w:val="DD0055"/>
          <w:kern w:val="0"/>
          <w:sz w:val="21"/>
          <w:szCs w:val="21"/>
          <w:lang w:eastAsia="ru-RU"/>
          <w14:ligatures w14:val="none"/>
        </w:rPr>
        <w:t>Нj</w:t>
      </w:r>
      <w:r w:rsidRPr="00FC08E0">
        <w:rPr>
          <w:rFonts w:ascii="Open Sans" w:eastAsia="Times New Roman" w:hAnsi="Open Sans" w:cs="Open Sans"/>
          <w:color w:val="444444"/>
          <w:kern w:val="0"/>
          <w:sz w:val="21"/>
          <w:szCs w:val="21"/>
          <w:lang w:eastAsia="ru-RU"/>
          <w14:ligatures w14:val="none"/>
        </w:rPr>
        <w:t> и Э</w:t>
      </w:r>
      <w:r w:rsidRPr="00FC08E0">
        <w:rPr>
          <w:rFonts w:ascii="Open Sans" w:eastAsia="Times New Roman" w:hAnsi="Open Sans" w:cs="Open Sans"/>
          <w:i/>
          <w:iCs/>
          <w:color w:val="DD0055"/>
          <w:kern w:val="0"/>
          <w:sz w:val="21"/>
          <w:szCs w:val="21"/>
          <w:lang w:eastAsia="ru-RU"/>
          <w14:ligatures w14:val="none"/>
        </w:rPr>
        <w:t>Σj</w:t>
      </w:r>
      <w:r w:rsidRPr="00FC08E0">
        <w:rPr>
          <w:rFonts w:ascii="Open Sans" w:eastAsia="Times New Roman" w:hAnsi="Open Sans" w:cs="Open Sans"/>
          <w:color w:val="444444"/>
          <w:kern w:val="0"/>
          <w:sz w:val="21"/>
          <w:szCs w:val="21"/>
          <w:lang w:eastAsia="ru-RU"/>
          <w14:ligatures w14:val="none"/>
        </w:rPr>
        <w:t>- позволяют выбрать из числа применяемых или формировать новую эффективную систему НК объектов с учетом категории их ответственности и особенностей изготовления и эксплуатации.</w:t>
      </w:r>
    </w:p>
    <w:p w14:paraId="52A7F3BF" w14:textId="65E36DF5"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9" w:name="_Toc322119684"/>
      <w:r w:rsidRPr="00FC08E0">
        <w:rPr>
          <w:rFonts w:ascii="Open Sans" w:eastAsia="Times New Roman" w:hAnsi="Open Sans" w:cs="Open Sans"/>
          <w:color w:val="1FA2D6"/>
          <w:kern w:val="0"/>
          <w:sz w:val="21"/>
          <w:szCs w:val="21"/>
          <w:lang w:eastAsia="ru-RU"/>
          <w14:ligatures w14:val="none"/>
        </w:rPr>
        <w:t>§ 6.6. Формирование эффективных систем неразрушающего контроля объектов различной категории</w:t>
      </w:r>
      <w:bookmarkEnd w:id="9"/>
      <w:r w:rsidRPr="00FC08E0">
        <w:rPr>
          <w:rFonts w:ascii="Open Sans" w:eastAsia="Times New Roman" w:hAnsi="Open Sans" w:cs="Open Sans"/>
          <w:color w:val="444444"/>
          <w:kern w:val="0"/>
          <w:sz w:val="21"/>
          <w:szCs w:val="21"/>
          <w:lang w:eastAsia="ru-RU"/>
          <w14:ligatures w14:val="none"/>
        </w:rPr>
        <w:br/>
        <w:t>В зависимости от категории ответственности объекта, определяемой прежде всего стоимостью вероятных убытков из-за возникновения аварийной ситуации, возможны следующие классы задач по формированию эффективных (рациональных) систем НК.</w:t>
      </w:r>
      <w:r w:rsidRPr="00FC08E0">
        <w:rPr>
          <w:rFonts w:ascii="Open Sans" w:eastAsia="Times New Roman" w:hAnsi="Open Sans" w:cs="Open Sans"/>
          <w:color w:val="444444"/>
          <w:kern w:val="0"/>
          <w:sz w:val="21"/>
          <w:szCs w:val="21"/>
          <w:lang w:eastAsia="ru-RU"/>
          <w14:ligatures w14:val="none"/>
        </w:rPr>
        <w:br/>
        <w:t>1. Требуется сравнить действующую длительное время на предприятии систему НК (систему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из t* вариантов) объектов с другими возможными системами НК, базирующимися на различных сочетаниях вариантов t</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из числа t0(t0&lt;t*), освоенных предприятием для контроля различных объектов, и выбрать рациональную систему Срац. Техническая эффективность системы Сj*, удовлетворяет потребителя и поставщика и согласно расчетам составляет Δ</w:t>
      </w:r>
      <w:r w:rsidRPr="00FC08E0">
        <w:rPr>
          <w:rFonts w:ascii="Open Sans" w:eastAsia="Times New Roman" w:hAnsi="Open Sans" w:cs="Open Sans"/>
          <w:i/>
          <w:iCs/>
          <w:color w:val="DD0055"/>
          <w:kern w:val="0"/>
          <w:sz w:val="21"/>
          <w:szCs w:val="21"/>
          <w:lang w:eastAsia="ru-RU"/>
          <w14:ligatures w14:val="none"/>
        </w:rPr>
        <w:t>Hj</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t>При такой постановке задачи Эп и Эн неизвестны, так как величины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 и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не оценивались. Решение по выбору рациональной системы НК рассматриваемого объекта из возможных на предприятии сводится к минимизации затрат Э</w:t>
      </w:r>
      <w:r w:rsidRPr="00FC08E0">
        <w:rPr>
          <w:rFonts w:ascii="Open Sans" w:eastAsia="Times New Roman" w:hAnsi="Open Sans" w:cs="Open Sans"/>
          <w:i/>
          <w:iCs/>
          <w:color w:val="DD0055"/>
          <w:kern w:val="0"/>
          <w:sz w:val="21"/>
          <w:szCs w:val="21"/>
          <w:lang w:eastAsia="ru-RU"/>
          <w14:ligatures w14:val="none"/>
        </w:rPr>
        <w:t>Σj=</w:t>
      </w:r>
      <w:r w:rsidRPr="00FC08E0">
        <w:rPr>
          <w:rFonts w:ascii="Open Sans" w:eastAsia="Times New Roman" w:hAnsi="Open Sans" w:cs="Open Sans"/>
          <w:color w:val="444444"/>
          <w:kern w:val="0"/>
          <w:sz w:val="21"/>
          <w:szCs w:val="21"/>
          <w:lang w:eastAsia="ru-RU"/>
          <w14:ligatures w14:val="none"/>
        </w:rPr>
        <w:t> Эk</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при технической эффективности не менее Δ</w:t>
      </w:r>
      <w:r w:rsidRPr="00FC08E0">
        <w:rPr>
          <w:rFonts w:ascii="Open Sans" w:eastAsia="Times New Roman" w:hAnsi="Open Sans" w:cs="Open Sans"/>
          <w:i/>
          <w:iCs/>
          <w:color w:val="DD0055"/>
          <w:kern w:val="0"/>
          <w:sz w:val="21"/>
          <w:szCs w:val="21"/>
          <w:lang w:eastAsia="ru-RU"/>
          <w14:ligatures w14:val="none"/>
        </w:rPr>
        <w:t>Hj</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63315DDA" wp14:editId="6CD29678">
            <wp:extent cx="2667000" cy="236220"/>
            <wp:effectExtent l="0" t="0" r="0" b="0"/>
            <wp:docPr id="41406681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6700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Может оказаться, что данному условию удовлетворяют две и более систем. Тогда для выбора оптимальной из них следует вос</w:t>
      </w:r>
      <w:r w:rsidRPr="00FC08E0">
        <w:rPr>
          <w:rFonts w:ascii="Open Sans" w:eastAsia="Times New Roman" w:hAnsi="Open Sans" w:cs="Open Sans"/>
          <w:color w:val="444444"/>
          <w:kern w:val="0"/>
          <w:sz w:val="21"/>
          <w:szCs w:val="21"/>
          <w:lang w:eastAsia="ru-RU"/>
          <w14:ligatures w14:val="none"/>
        </w:rPr>
        <w:softHyphen/>
        <w:t>пользоваться дополнительными экспертными оценками, например показателем обобщенной функции желательности [1, 18].</w:t>
      </w:r>
      <w:r w:rsidRPr="00FC08E0">
        <w:rPr>
          <w:rFonts w:ascii="Open Sans" w:eastAsia="Times New Roman" w:hAnsi="Open Sans" w:cs="Open Sans"/>
          <w:color w:val="444444"/>
          <w:kern w:val="0"/>
          <w:sz w:val="21"/>
          <w:szCs w:val="21"/>
          <w:lang w:eastAsia="ru-RU"/>
          <w14:ligatures w14:val="none"/>
        </w:rPr>
        <w:br/>
        <w:t>Пример. На предприятии длительное время контроль качества стыковых швов листов толщиной 30 мм ведут гамма-графированием и внешним осмотром (система Сj*). Данные гамма-графирования и специально проведенных металлографических исследований показали, что в швах при их сварке возникают внутренние непровары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н(0)=0,98,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н(1)=0,02), а также поры размером 2...4 мм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п(0)=0,995,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п(1)=0,005). Вероятности обнаружения указанных недопустимых дефектов при НК системой Cj*. составляют Рд-</w:t>
      </w:r>
      <w:r w:rsidRPr="00FC08E0">
        <w:rPr>
          <w:rFonts w:ascii="Open Sans" w:eastAsia="Times New Roman" w:hAnsi="Open Sans" w:cs="Open Sans"/>
          <w:color w:val="444444"/>
          <w:kern w:val="0"/>
          <w:sz w:val="21"/>
          <w:szCs w:val="21"/>
          <w:lang w:eastAsia="ru-RU"/>
          <w14:ligatures w14:val="none"/>
        </w:rPr>
        <w:lastRenderedPageBreak/>
        <w:t>оп(Вн/Сj*)=0,98 и Рд-оп(Вн/Сj*)=0,97; стоимость контроля этой системой (Экг+Эвг)»3,3 руб/м (см. табл. 6.5).</w:t>
      </w:r>
      <w:r w:rsidRPr="00FC08E0">
        <w:rPr>
          <w:rFonts w:ascii="Open Sans" w:eastAsia="Times New Roman" w:hAnsi="Open Sans" w:cs="Open Sans"/>
          <w:color w:val="444444"/>
          <w:kern w:val="0"/>
          <w:sz w:val="21"/>
          <w:szCs w:val="21"/>
          <w:lang w:eastAsia="ru-RU"/>
          <w14:ligatures w14:val="none"/>
        </w:rPr>
        <w:br/>
        <w:t>На другом предприятии для контроля стыковых сварных швов листов толщиной 40 мм используют ультразвуковой эхометод. Установлено, что дефекты, аналогичные указанным, выявляются с вероятностями Рд-оп(Вн/УЗД)=0,99 и Рд-оп(Вн/УЗД)=0,83; стоимость ультразвукового контроля (Эку+Эву)=0,7 руб/м (см. табл. 6.5).</w:t>
      </w:r>
      <w:r w:rsidRPr="00FC08E0">
        <w:rPr>
          <w:rFonts w:ascii="Open Sans" w:eastAsia="Times New Roman" w:hAnsi="Open Sans" w:cs="Open Sans"/>
          <w:color w:val="444444"/>
          <w:kern w:val="0"/>
          <w:sz w:val="21"/>
          <w:szCs w:val="21"/>
          <w:lang w:eastAsia="ru-RU"/>
          <w14:ligatures w14:val="none"/>
        </w:rPr>
        <w:br/>
        <w:t>Из сравнения вероятностей обнаружения непроваров и пор гамма-графированием и ультразвуковой дефектоскопией целесообразно сопоставить действующую систему Cj* с системой С2, основанной на внешнем осмотре и ультразвуковом контроле каждого шва независимо двумя или более операторами; последнее позволяет увеличить вероятность обнаружения пор. Так, при контроле двумя операторами</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77EA58AC" wp14:editId="29F499E8">
            <wp:extent cx="2773680" cy="236220"/>
            <wp:effectExtent l="0" t="0" r="7620" b="0"/>
            <wp:docPr id="112903910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77368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Тогда, как показывают расчеты по выражениям (6.5), (6.9) и (6.10), техническая эффективность систем составит </w:t>
      </w:r>
      <w:r w:rsidRPr="00FC08E0">
        <w:rPr>
          <w:rFonts w:ascii="Open Sans" w:eastAsia="Times New Roman" w:hAnsi="Open Sans" w:cs="Open Sans"/>
          <w:i/>
          <w:iCs/>
          <w:color w:val="DD0055"/>
          <w:kern w:val="0"/>
          <w:sz w:val="21"/>
          <w:szCs w:val="21"/>
          <w:lang w:eastAsia="ru-RU"/>
          <w14:ligatures w14:val="none"/>
        </w:rPr>
        <w:t>ΔH</w:t>
      </w:r>
      <w:r w:rsidRPr="00FC08E0">
        <w:rPr>
          <w:rFonts w:ascii="Open Sans" w:eastAsia="Times New Roman" w:hAnsi="Open Sans" w:cs="Open Sans"/>
          <w:color w:val="444444"/>
          <w:kern w:val="0"/>
          <w:sz w:val="21"/>
          <w:szCs w:val="21"/>
          <w:lang w:eastAsia="ru-RU"/>
          <w14:ligatures w14:val="none"/>
        </w:rPr>
        <w:t>*=0,002707 и </w:t>
      </w:r>
      <w:r w:rsidRPr="00FC08E0">
        <w:rPr>
          <w:rFonts w:ascii="Open Sans" w:eastAsia="Times New Roman" w:hAnsi="Open Sans" w:cs="Open Sans"/>
          <w:i/>
          <w:iCs/>
          <w:color w:val="DD0055"/>
          <w:kern w:val="0"/>
          <w:sz w:val="21"/>
          <w:szCs w:val="21"/>
          <w:lang w:eastAsia="ru-RU"/>
          <w14:ligatures w14:val="none"/>
        </w:rPr>
        <w:t>ΔH</w:t>
      </w:r>
      <w:r w:rsidRPr="00FC08E0">
        <w:rPr>
          <w:rFonts w:ascii="Open Sans" w:eastAsia="Times New Roman" w:hAnsi="Open Sans" w:cs="Open Sans"/>
          <w:color w:val="444444"/>
          <w:kern w:val="0"/>
          <w:sz w:val="21"/>
          <w:szCs w:val="21"/>
          <w:lang w:eastAsia="ru-RU"/>
          <w14:ligatures w14:val="none"/>
        </w:rPr>
        <w:t>2=0,002728 при затратах на системы соответственно (Э</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+Э</w:t>
      </w:r>
      <w:r w:rsidRPr="00FC08E0">
        <w:rPr>
          <w:rFonts w:ascii="Open Sans" w:eastAsia="Times New Roman" w:hAnsi="Open Sans" w:cs="Open Sans"/>
          <w:i/>
          <w:iCs/>
          <w:color w:val="DD0055"/>
          <w:kern w:val="0"/>
          <w:sz w:val="21"/>
          <w:szCs w:val="21"/>
          <w:lang w:eastAsia="ru-RU"/>
          <w14:ligatures w14:val="none"/>
        </w:rPr>
        <w:t>в*</w:t>
      </w:r>
      <w:r w:rsidRPr="00FC08E0">
        <w:rPr>
          <w:rFonts w:ascii="Open Sans" w:eastAsia="Times New Roman" w:hAnsi="Open Sans" w:cs="Open Sans"/>
          <w:color w:val="444444"/>
          <w:kern w:val="0"/>
          <w:sz w:val="21"/>
          <w:szCs w:val="21"/>
          <w:lang w:eastAsia="ru-RU"/>
          <w14:ligatures w14:val="none"/>
        </w:rPr>
        <w:t>)=3,3 руб/м и (Э</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2+Э</w:t>
      </w:r>
      <w:r w:rsidRPr="00FC08E0">
        <w:rPr>
          <w:rFonts w:ascii="Open Sans" w:eastAsia="Times New Roman" w:hAnsi="Open Sans" w:cs="Open Sans"/>
          <w:i/>
          <w:iCs/>
          <w:color w:val="DD0055"/>
          <w:kern w:val="0"/>
          <w:sz w:val="21"/>
          <w:szCs w:val="21"/>
          <w:lang w:eastAsia="ru-RU"/>
          <w14:ligatures w14:val="none"/>
        </w:rPr>
        <w:t> в</w:t>
      </w:r>
      <w:r w:rsidRPr="00FC08E0">
        <w:rPr>
          <w:rFonts w:ascii="Open Sans" w:eastAsia="Times New Roman" w:hAnsi="Open Sans" w:cs="Open Sans"/>
          <w:color w:val="444444"/>
          <w:kern w:val="0"/>
          <w:sz w:val="21"/>
          <w:szCs w:val="21"/>
          <w:lang w:eastAsia="ru-RU"/>
          <w14:ligatures w14:val="none"/>
        </w:rPr>
        <w:t>2)=0,7•2=1,4 руб/м.</w:t>
      </w:r>
      <w:r w:rsidRPr="00FC08E0">
        <w:rPr>
          <w:rFonts w:ascii="Open Sans" w:eastAsia="Times New Roman" w:hAnsi="Open Sans" w:cs="Open Sans"/>
          <w:color w:val="444444"/>
          <w:kern w:val="0"/>
          <w:sz w:val="21"/>
          <w:szCs w:val="21"/>
          <w:lang w:eastAsia="ru-RU"/>
          <w14:ligatures w14:val="none"/>
        </w:rPr>
        <w:br/>
        <w:t>Видно, что замена гамма-графирования ультразвуковым методом рациональна.</w:t>
      </w:r>
      <w:r w:rsidRPr="00FC08E0">
        <w:rPr>
          <w:rFonts w:ascii="Open Sans" w:eastAsia="Times New Roman" w:hAnsi="Open Sans" w:cs="Open Sans"/>
          <w:color w:val="444444"/>
          <w:kern w:val="0"/>
          <w:sz w:val="21"/>
          <w:szCs w:val="21"/>
          <w:lang w:eastAsia="ru-RU"/>
          <w14:ligatures w14:val="none"/>
        </w:rPr>
        <w:br/>
        <w:t>2. Возникновение аварийной ситуации в объекте сопровождается катастрофой или убытками, не сопоставимыми с убытками от перебраковки соединения. В этом случае величина Э</w:t>
      </w:r>
      <w:r w:rsidRPr="00FC08E0">
        <w:rPr>
          <w:rFonts w:ascii="Open Sans" w:eastAsia="Times New Roman" w:hAnsi="Open Sans" w:cs="Open Sans"/>
          <w:i/>
          <w:iCs/>
          <w:color w:val="DD0055"/>
          <w:kern w:val="0"/>
          <w:sz w:val="21"/>
          <w:szCs w:val="21"/>
          <w:lang w:eastAsia="ru-RU"/>
          <w14:ligatures w14:val="none"/>
        </w:rPr>
        <w:t>н</w:t>
      </w:r>
      <w:r w:rsidRPr="00FC08E0">
        <w:rPr>
          <w:rFonts w:ascii="Open Sans" w:eastAsia="Times New Roman" w:hAnsi="Open Sans" w:cs="Open Sans"/>
          <w:color w:val="444444"/>
          <w:kern w:val="0"/>
          <w:sz w:val="21"/>
          <w:szCs w:val="21"/>
          <w:lang w:eastAsia="ru-RU"/>
          <w14:ligatures w14:val="none"/>
        </w:rPr>
        <w:t> неизвестна, поскольку значение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не может быть определено. Из всех технически возможных следует выбирать такую систему НК, для которой </w:t>
      </w:r>
      <w:r w:rsidRPr="00FC08E0">
        <w:rPr>
          <w:rFonts w:ascii="Open Sans" w:eastAsia="Times New Roman" w:hAnsi="Open Sans" w:cs="Open Sans"/>
          <w:i/>
          <w:iCs/>
          <w:color w:val="DD0055"/>
          <w:kern w:val="0"/>
          <w:sz w:val="21"/>
          <w:szCs w:val="21"/>
          <w:lang w:eastAsia="ru-RU"/>
          <w14:ligatures w14:val="none"/>
        </w:rPr>
        <w:t>ΔHj</w:t>
      </w:r>
      <w:r w:rsidRPr="00FC08E0">
        <w:rPr>
          <w:rFonts w:ascii="Open Sans" w:eastAsia="Times New Roman" w:hAnsi="Open Sans" w:cs="Open Sans"/>
          <w:color w:val="444444"/>
          <w:kern w:val="0"/>
          <w:sz w:val="21"/>
          <w:szCs w:val="21"/>
          <w:lang w:eastAsia="ru-RU"/>
          <w14:ligatures w14:val="none"/>
        </w:rPr>
        <w:t> максимально, а суммарные затраты не превышают некоторое, в настоящее время экономически реализуемое значение Э</w:t>
      </w:r>
      <w:r w:rsidRPr="00FC08E0">
        <w:rPr>
          <w:rFonts w:ascii="Open Sans" w:eastAsia="Times New Roman" w:hAnsi="Open Sans" w:cs="Open Sans"/>
          <w:i/>
          <w:iCs/>
          <w:color w:val="DD0055"/>
          <w:kern w:val="0"/>
          <w:sz w:val="21"/>
          <w:szCs w:val="21"/>
          <w:lang w:eastAsia="ru-RU"/>
          <w14:ligatures w14:val="none"/>
        </w:rPr>
        <w:t>Σ</w:t>
      </w:r>
      <w:r w:rsidRPr="00FC08E0">
        <w:rPr>
          <w:rFonts w:ascii="Open Sans" w:eastAsia="Times New Roman" w:hAnsi="Open Sans" w:cs="Open Sans"/>
          <w:color w:val="444444"/>
          <w:kern w:val="0"/>
          <w:sz w:val="21"/>
          <w:szCs w:val="21"/>
          <w:lang w:eastAsia="ru-RU"/>
          <w14:ligatures w14:val="none"/>
        </w:rPr>
        <w:t>*, т.е.</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7458AE93" wp14:editId="0AB9DE7E">
            <wp:extent cx="3048000" cy="236220"/>
            <wp:effectExtent l="0" t="0" r="0" b="0"/>
            <wp:docPr id="134480333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4800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Значение Э</w:t>
      </w:r>
      <w:r w:rsidRPr="00FC08E0">
        <w:rPr>
          <w:rFonts w:ascii="Open Sans" w:eastAsia="Times New Roman" w:hAnsi="Open Sans" w:cs="Open Sans"/>
          <w:i/>
          <w:iCs/>
          <w:color w:val="DD0055"/>
          <w:kern w:val="0"/>
          <w:sz w:val="21"/>
          <w:szCs w:val="21"/>
          <w:lang w:eastAsia="ru-RU"/>
          <w14:ligatures w14:val="none"/>
        </w:rPr>
        <w:t>Σ*</w:t>
      </w:r>
      <w:r w:rsidRPr="00FC08E0">
        <w:rPr>
          <w:rFonts w:ascii="Open Sans" w:eastAsia="Times New Roman" w:hAnsi="Open Sans" w:cs="Open Sans"/>
          <w:color w:val="444444"/>
          <w:kern w:val="0"/>
          <w:sz w:val="21"/>
          <w:szCs w:val="21"/>
          <w:lang w:eastAsia="ru-RU"/>
          <w14:ligatures w14:val="none"/>
        </w:rPr>
        <w:t>, ограничивается техническим уровнем развития; и объемами производства средств НК, обеспеченностью специалистами НК и контролепригодностью объектов.</w:t>
      </w:r>
      <w:r w:rsidRPr="00FC08E0">
        <w:rPr>
          <w:rFonts w:ascii="Open Sans" w:eastAsia="Times New Roman" w:hAnsi="Open Sans" w:cs="Open Sans"/>
          <w:color w:val="444444"/>
          <w:kern w:val="0"/>
          <w:sz w:val="21"/>
          <w:szCs w:val="21"/>
          <w:lang w:eastAsia="ru-RU"/>
          <w14:ligatures w14:val="none"/>
        </w:rPr>
        <w:br/>
        <w:t>3. Для особо ответственных объектов задано некоторое допустимое минимальное значение </w:t>
      </w:r>
      <w:r w:rsidRPr="00FC08E0">
        <w:rPr>
          <w:rFonts w:ascii="Open Sans" w:eastAsia="Times New Roman" w:hAnsi="Open Sans" w:cs="Open Sans"/>
          <w:i/>
          <w:iCs/>
          <w:color w:val="DD0055"/>
          <w:kern w:val="0"/>
          <w:sz w:val="21"/>
          <w:szCs w:val="21"/>
          <w:lang w:eastAsia="ru-RU"/>
          <w14:ligatures w14:val="none"/>
        </w:rPr>
        <w:t>Hj</w:t>
      </w:r>
      <w:r w:rsidRPr="00FC08E0">
        <w:rPr>
          <w:rFonts w:ascii="Open Sans" w:eastAsia="Times New Roman" w:hAnsi="Open Sans" w:cs="Open Sans"/>
          <w:color w:val="444444"/>
          <w:kern w:val="0"/>
          <w:sz w:val="21"/>
          <w:szCs w:val="21"/>
          <w:lang w:eastAsia="ru-RU"/>
          <w14:ligatures w14:val="none"/>
        </w:rPr>
        <w:t>* вероятности безаварийной paботы. При такой постановке затраты Эн постоянны и задача cвoдится к формированию системы с минимальным значением суммарных затрат при технической эффективности не ниже заданного уровня:</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092E336B" wp14:editId="5748CA77">
            <wp:extent cx="3345180" cy="236220"/>
            <wp:effectExtent l="0" t="0" r="0" b="0"/>
            <wp:docPr id="19947586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34518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br/>
        <w:t>Решение подобной задачи рассмотрено в [18]. Следует отметить, что приведенное условие оптимизации системы НК не является критерием Неймана — Пирсона (см. гл. 2), поскольку согласно этому критерию следовало бы минимизировать только вероятность недобраковки.</w:t>
      </w:r>
      <w:r w:rsidRPr="00FC08E0">
        <w:rPr>
          <w:rFonts w:ascii="Open Sans" w:eastAsia="Times New Roman" w:hAnsi="Open Sans" w:cs="Open Sans"/>
          <w:color w:val="444444"/>
          <w:kern w:val="0"/>
          <w:sz w:val="21"/>
          <w:szCs w:val="21"/>
          <w:lang w:eastAsia="ru-RU"/>
          <w14:ligatures w14:val="none"/>
        </w:rPr>
        <w:br/>
        <w:t>4. Убытки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от возникновения аварийной ситуации из-за недобраковки объектов конечны и соизмеримы с убытками F от перебраковки объекта. Очевидно, из систем с равными или близкими минимальными значениями </w:t>
      </w:r>
      <w:r w:rsidRPr="00FC08E0">
        <w:rPr>
          <w:rFonts w:ascii="Open Sans" w:eastAsia="Times New Roman" w:hAnsi="Open Sans" w:cs="Open Sans"/>
          <w:i/>
          <w:iCs/>
          <w:color w:val="DD0055"/>
          <w:kern w:val="0"/>
          <w:sz w:val="21"/>
          <w:szCs w:val="21"/>
          <w:lang w:eastAsia="ru-RU"/>
          <w14:ligatures w14:val="none"/>
        </w:rPr>
        <w:t>Rj</w:t>
      </w:r>
      <w:r w:rsidRPr="00FC08E0">
        <w:rPr>
          <w:rFonts w:ascii="Open Sans" w:eastAsia="Times New Roman" w:hAnsi="Open Sans" w:cs="Open Sans"/>
          <w:color w:val="444444"/>
          <w:kern w:val="0"/>
          <w:sz w:val="21"/>
          <w:szCs w:val="21"/>
          <w:lang w:eastAsia="ru-RU"/>
          <w14:ligatures w14:val="none"/>
        </w:rPr>
        <w:t>= ЭΣ</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Эн</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оптимальной будет система Copt с максимальной технической эффективностью Δ</w:t>
      </w:r>
      <w:r w:rsidRPr="00FC08E0">
        <w:rPr>
          <w:rFonts w:ascii="Open Sans" w:eastAsia="Times New Roman" w:hAnsi="Open Sans" w:cs="Open Sans"/>
          <w:i/>
          <w:iCs/>
          <w:color w:val="DD0055"/>
          <w:kern w:val="0"/>
          <w:sz w:val="21"/>
          <w:szCs w:val="21"/>
          <w:lang w:eastAsia="ru-RU"/>
          <w14:ligatures w14:val="none"/>
        </w:rPr>
        <w:t>Hj</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t>Таким образом, Rрац=min (Эк</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Эп</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Эн</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и, далее, Δ</w:t>
      </w:r>
      <w:r w:rsidRPr="00FC08E0">
        <w:rPr>
          <w:rFonts w:ascii="Open Sans" w:eastAsia="Times New Roman" w:hAnsi="Open Sans" w:cs="Open Sans"/>
          <w:i/>
          <w:iCs/>
          <w:color w:val="DD0055"/>
          <w:kern w:val="0"/>
          <w:sz w:val="21"/>
          <w:szCs w:val="21"/>
          <w:lang w:eastAsia="ru-RU"/>
          <w14:ligatures w14:val="none"/>
        </w:rPr>
        <w:t>H</w:t>
      </w:r>
      <w:r w:rsidRPr="00FC08E0">
        <w:rPr>
          <w:rFonts w:ascii="Open Sans" w:eastAsia="Times New Roman" w:hAnsi="Open Sans" w:cs="Open Sans"/>
          <w:color w:val="444444"/>
          <w:kern w:val="0"/>
          <w:sz w:val="21"/>
          <w:szCs w:val="21"/>
          <w:lang w:eastAsia="ru-RU"/>
          <w14:ligatures w14:val="none"/>
        </w:rPr>
        <w:t>opt=maxΔ</w:t>
      </w:r>
      <w:r w:rsidRPr="00FC08E0">
        <w:rPr>
          <w:rFonts w:ascii="Open Sans" w:eastAsia="Times New Roman" w:hAnsi="Open Sans" w:cs="Open Sans"/>
          <w:i/>
          <w:iCs/>
          <w:color w:val="DD0055"/>
          <w:kern w:val="0"/>
          <w:sz w:val="21"/>
          <w:szCs w:val="21"/>
          <w:lang w:eastAsia="ru-RU"/>
          <w14:ligatures w14:val="none"/>
        </w:rPr>
        <w:t>Hj</w:t>
      </w:r>
      <w:r w:rsidRPr="00FC08E0">
        <w:rPr>
          <w:rFonts w:ascii="Open Sans" w:eastAsia="Times New Roman" w:hAnsi="Open Sans" w:cs="Open Sans"/>
          <w:color w:val="444444"/>
          <w:kern w:val="0"/>
          <w:sz w:val="21"/>
          <w:szCs w:val="21"/>
          <w:lang w:eastAsia="ru-RU"/>
          <w14:ligatures w14:val="none"/>
        </w:rPr>
        <w:t> при Ropt»Rрац.</w:t>
      </w:r>
      <w:r w:rsidRPr="00FC08E0">
        <w:rPr>
          <w:rFonts w:ascii="Open Sans" w:eastAsia="Times New Roman" w:hAnsi="Open Sans" w:cs="Open Sans"/>
          <w:color w:val="444444"/>
          <w:kern w:val="0"/>
          <w:sz w:val="21"/>
          <w:szCs w:val="21"/>
          <w:lang w:eastAsia="ru-RU"/>
          <w14:ligatures w14:val="none"/>
        </w:rPr>
        <w:br/>
        <w:t>Раскрыв выражение для R</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с учетом (6.12) и (6.13), получим R</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(Эк</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)+FР(ПjI,II)+1[1 – (</w:t>
      </w:r>
      <w:r w:rsidRPr="00FC08E0">
        <w:rPr>
          <w:rFonts w:ascii="Open Sans" w:eastAsia="Times New Roman" w:hAnsi="Open Sans" w:cs="Open Sans"/>
          <w:i/>
          <w:iCs/>
          <w:color w:val="DD0055"/>
          <w:kern w:val="0"/>
          <w:sz w:val="21"/>
          <w:szCs w:val="21"/>
          <w:lang w:eastAsia="ru-RU"/>
          <w14:ligatures w14:val="none"/>
        </w:rPr>
        <w:t>H</w:t>
      </w:r>
      <w:r w:rsidRPr="00FC08E0">
        <w:rPr>
          <w:rFonts w:ascii="Open Sans" w:eastAsia="Times New Roman" w:hAnsi="Open Sans" w:cs="Open Sans"/>
          <w:color w:val="444444"/>
          <w:kern w:val="0"/>
          <w:sz w:val="21"/>
          <w:szCs w:val="21"/>
          <w:lang w:eastAsia="ru-RU"/>
          <w14:ligatures w14:val="none"/>
        </w:rPr>
        <w:t>o+Δ</w:t>
      </w:r>
      <w:r w:rsidRPr="00FC08E0">
        <w:rPr>
          <w:rFonts w:ascii="Open Sans" w:eastAsia="Times New Roman" w:hAnsi="Open Sans" w:cs="Open Sans"/>
          <w:i/>
          <w:iCs/>
          <w:color w:val="DD0055"/>
          <w:kern w:val="0"/>
          <w:sz w:val="21"/>
          <w:szCs w:val="21"/>
          <w:lang w:eastAsia="ru-RU"/>
          <w14:ligatures w14:val="none"/>
        </w:rPr>
        <w:t>H</w:t>
      </w:r>
      <w:r w:rsidRPr="00FC08E0">
        <w:rPr>
          <w:rFonts w:ascii="Open Sans" w:eastAsia="Times New Roman" w:hAnsi="Open Sans" w:cs="Open Sans"/>
          <w:color w:val="444444"/>
          <w:kern w:val="0"/>
          <w:sz w:val="21"/>
          <w:szCs w:val="21"/>
          <w:lang w:eastAsia="ru-RU"/>
          <w14:ligatures w14:val="none"/>
        </w:rPr>
        <w:t>j)]=( Эк</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)+r</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t>В отдельных случаях, когда при изменении систем (например, при изменении чувствительности дефектоскопа) затраты на контроль (Эк</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остаются постоянными, для оптимизации систем НК допустимо ограничиться минимизацией функции r</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4C7746A5" wp14:editId="3A2437C6">
            <wp:extent cx="3817620" cy="259080"/>
            <wp:effectExtent l="0" t="0" r="0" b="7620"/>
            <wp:docPr id="38590993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17620" cy="25908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(6.14)</w:t>
      </w:r>
      <w:r w:rsidRPr="00FC08E0">
        <w:rPr>
          <w:rFonts w:ascii="Open Sans" w:eastAsia="Times New Roman" w:hAnsi="Open Sans" w:cs="Open Sans"/>
          <w:color w:val="444444"/>
          <w:kern w:val="0"/>
          <w:sz w:val="21"/>
          <w:szCs w:val="21"/>
          <w:lang w:eastAsia="ru-RU"/>
          <w14:ligatures w14:val="none"/>
        </w:rPr>
        <w:br/>
        <w:t>Выражение (6.14) отображает критерий Байеса, широко используемый в теории принятия решений (гл. 2).</w:t>
      </w:r>
      <w:r w:rsidRPr="00FC08E0">
        <w:rPr>
          <w:rFonts w:ascii="Open Sans" w:eastAsia="Times New Roman" w:hAnsi="Open Sans" w:cs="Open Sans"/>
          <w:color w:val="444444"/>
          <w:kern w:val="0"/>
          <w:sz w:val="21"/>
          <w:szCs w:val="21"/>
          <w:lang w:eastAsia="ru-RU"/>
          <w14:ligatures w14:val="none"/>
        </w:rPr>
        <w:br/>
        <w:t>Встречаются ситуации, когда затраты на возможные системы контроля объектов практически одинаковы, т.е. (Эв</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Э</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 const, стоимости перебраковки </w:t>
      </w:r>
      <w:r w:rsidRPr="00FC08E0">
        <w:rPr>
          <w:rFonts w:ascii="Open Sans" w:eastAsia="Times New Roman" w:hAnsi="Open Sans" w:cs="Open Sans"/>
          <w:i/>
          <w:iCs/>
          <w:color w:val="DD0055"/>
          <w:kern w:val="0"/>
          <w:sz w:val="21"/>
          <w:szCs w:val="21"/>
          <w:lang w:eastAsia="ru-RU"/>
          <w14:ligatures w14:val="none"/>
        </w:rPr>
        <w:t>F</w:t>
      </w:r>
      <w:r w:rsidRPr="00FC08E0">
        <w:rPr>
          <w:rFonts w:ascii="Open Sans" w:eastAsia="Times New Roman" w:hAnsi="Open Sans" w:cs="Open Sans"/>
          <w:color w:val="444444"/>
          <w:kern w:val="0"/>
          <w:sz w:val="21"/>
          <w:szCs w:val="21"/>
          <w:lang w:eastAsia="ru-RU"/>
          <w14:ligatures w14:val="none"/>
        </w:rPr>
        <w:t xml:space="preserve"> и </w:t>
      </w:r>
      <w:r w:rsidRPr="00FC08E0">
        <w:rPr>
          <w:rFonts w:ascii="Open Sans" w:eastAsia="Times New Roman" w:hAnsi="Open Sans" w:cs="Open Sans"/>
          <w:color w:val="444444"/>
          <w:kern w:val="0"/>
          <w:sz w:val="21"/>
          <w:szCs w:val="21"/>
          <w:lang w:eastAsia="ru-RU"/>
          <w14:ligatures w14:val="none"/>
        </w:rPr>
        <w:lastRenderedPageBreak/>
        <w:t>недобраковки </w:t>
      </w:r>
      <w:r w:rsidRPr="00FC08E0">
        <w:rPr>
          <w:rFonts w:ascii="Open Sans" w:eastAsia="Times New Roman" w:hAnsi="Open Sans" w:cs="Open Sans"/>
          <w:i/>
          <w:iCs/>
          <w:color w:val="DD0055"/>
          <w:kern w:val="0"/>
          <w:sz w:val="21"/>
          <w:szCs w:val="21"/>
          <w:lang w:eastAsia="ru-RU"/>
          <w14:ligatures w14:val="none"/>
        </w:rPr>
        <w:t>I</w:t>
      </w:r>
      <w:r w:rsidRPr="00FC08E0">
        <w:rPr>
          <w:rFonts w:ascii="Open Sans" w:eastAsia="Times New Roman" w:hAnsi="Open Sans" w:cs="Open Sans"/>
          <w:color w:val="444444"/>
          <w:kern w:val="0"/>
          <w:sz w:val="21"/>
          <w:szCs w:val="21"/>
          <w:lang w:eastAsia="ru-RU"/>
          <w14:ligatures w14:val="none"/>
        </w:rPr>
        <w:t> объектов весьма близки (</w:t>
      </w:r>
      <w:r w:rsidRPr="00FC08E0">
        <w:rPr>
          <w:rFonts w:ascii="Open Sans" w:eastAsia="Times New Roman" w:hAnsi="Open Sans" w:cs="Open Sans"/>
          <w:i/>
          <w:iCs/>
          <w:color w:val="DD0055"/>
          <w:kern w:val="0"/>
          <w:sz w:val="21"/>
          <w:szCs w:val="21"/>
          <w:lang w:eastAsia="ru-RU"/>
          <w14:ligatures w14:val="none"/>
        </w:rPr>
        <w:t>F»I</w:t>
      </w:r>
      <w:r w:rsidRPr="00FC08E0">
        <w:rPr>
          <w:rFonts w:ascii="Open Sans" w:eastAsia="Times New Roman" w:hAnsi="Open Sans" w:cs="Open Sans"/>
          <w:color w:val="444444"/>
          <w:kern w:val="0"/>
          <w:sz w:val="21"/>
          <w:szCs w:val="21"/>
          <w:lang w:eastAsia="ru-RU"/>
          <w14:ligatures w14:val="none"/>
        </w:rPr>
        <w:t>), все дефекты дифференцированы на допустимые и недопустимые, вероятности обнаружения которых возможными системами C</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составляют соответственно Р(Пд/С) и P(Bн/Cj). В этом случае интегральный критерий эффективности системы приобретает вид</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16DDF951" wp14:editId="1E4A31DC">
            <wp:extent cx="2430780" cy="236220"/>
            <wp:effectExtent l="0" t="0" r="7620" b="0"/>
            <wp:docPr id="207833158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3078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(6.15)</w:t>
      </w:r>
      <w:r w:rsidRPr="00FC08E0">
        <w:rPr>
          <w:rFonts w:ascii="Open Sans" w:eastAsia="Times New Roman" w:hAnsi="Open Sans" w:cs="Open Sans"/>
          <w:color w:val="444444"/>
          <w:kern w:val="0"/>
          <w:sz w:val="21"/>
          <w:szCs w:val="21"/>
          <w:lang w:eastAsia="ru-RU"/>
          <w14:ligatures w14:val="none"/>
        </w:rPr>
        <w:br/>
        <w:t>и, далее, Р(Вн/Срац)=maxP(Вн/С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при r&lt;&lt;rрац.</w:t>
      </w:r>
    </w:p>
    <w:p w14:paraId="103EB511"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Слагаемые в выражении (6.15), описывающем функцию «идеального наблюдателя» [4, 6, 11], характеризуют собой вероятность ошибок, обусловленных соответственно недобраковкой P(Bн/C</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(риск потребителя) и перебраковкой P(Пд/С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(риск поставщика).</w:t>
      </w:r>
    </w:p>
    <w:p w14:paraId="50B4F603"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r w:rsidRPr="00FC08E0">
        <w:rPr>
          <w:rFonts w:ascii="Open Sans" w:eastAsia="Times New Roman" w:hAnsi="Open Sans" w:cs="Open Sans"/>
          <w:color w:val="444444"/>
          <w:kern w:val="0"/>
          <w:sz w:val="21"/>
          <w:szCs w:val="21"/>
          <w:lang w:eastAsia="ru-RU"/>
          <w14:ligatures w14:val="none"/>
        </w:rPr>
        <w:br w:type="textWrapping" w:clear="all"/>
      </w:r>
    </w:p>
    <w:p w14:paraId="494EAAB4"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Таблица 6.6</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90"/>
        <w:gridCol w:w="968"/>
        <w:gridCol w:w="852"/>
        <w:gridCol w:w="909"/>
        <w:gridCol w:w="981"/>
        <w:gridCol w:w="1139"/>
      </w:tblGrid>
      <w:tr w:rsidR="00FC08E0" w:rsidRPr="00FC08E0" w14:paraId="313116E6" w14:textId="77777777" w:rsidTr="00FC08E0">
        <w:trPr>
          <w:jc w:val="center"/>
        </w:trPr>
        <w:tc>
          <w:tcPr>
            <w:tcW w:w="4605" w:type="dxa"/>
            <w:vMerge w:val="restart"/>
            <w:tcBorders>
              <w:top w:val="outset" w:sz="6" w:space="0" w:color="auto"/>
              <w:left w:val="outset" w:sz="6" w:space="0" w:color="auto"/>
              <w:bottom w:val="outset" w:sz="6" w:space="0" w:color="auto"/>
              <w:right w:val="outset" w:sz="6" w:space="0" w:color="auto"/>
            </w:tcBorders>
            <w:vAlign w:val="center"/>
            <w:hideMark/>
          </w:tcPr>
          <w:p w14:paraId="69F79E85"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br/>
              <w:t>D</w:t>
            </w:r>
            <w:r w:rsidRPr="00FC08E0">
              <w:rPr>
                <w:rFonts w:ascii="Times New Roman" w:eastAsia="Times New Roman" w:hAnsi="Times New Roman" w:cs="Times New Roman"/>
                <w:i/>
                <w:iCs/>
                <w:color w:val="DD0055"/>
                <w:kern w:val="0"/>
                <w:sz w:val="24"/>
                <w:szCs w:val="24"/>
                <w:lang w:eastAsia="ru-RU"/>
                <w14:ligatures w14:val="none"/>
              </w:rPr>
              <w:t>ki</w:t>
            </w:r>
          </w:p>
        </w:tc>
        <w:tc>
          <w:tcPr>
            <w:tcW w:w="990" w:type="dxa"/>
            <w:vMerge w:val="restart"/>
            <w:tcBorders>
              <w:top w:val="outset" w:sz="6" w:space="0" w:color="auto"/>
              <w:left w:val="outset" w:sz="6" w:space="0" w:color="auto"/>
              <w:bottom w:val="outset" w:sz="6" w:space="0" w:color="auto"/>
              <w:right w:val="outset" w:sz="6" w:space="0" w:color="auto"/>
            </w:tcBorders>
            <w:vAlign w:val="center"/>
            <w:hideMark/>
          </w:tcPr>
          <w:p w14:paraId="5B893A11"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r</w:t>
            </w:r>
            <w:r w:rsidRPr="00FC08E0">
              <w:rPr>
                <w:rFonts w:ascii="Times New Roman" w:eastAsia="Times New Roman" w:hAnsi="Times New Roman" w:cs="Times New Roman"/>
                <w:i/>
                <w:iCs/>
                <w:color w:val="DD0055"/>
                <w:kern w:val="0"/>
                <w:sz w:val="24"/>
                <w:szCs w:val="24"/>
                <w:lang w:eastAsia="ru-RU"/>
                <w14:ligatures w14:val="none"/>
              </w:rPr>
              <w:t>ki</w:t>
            </w:r>
          </w:p>
        </w:tc>
        <w:tc>
          <w:tcPr>
            <w:tcW w:w="3975" w:type="dxa"/>
            <w:gridSpan w:val="4"/>
            <w:tcBorders>
              <w:top w:val="outset" w:sz="6" w:space="0" w:color="auto"/>
              <w:left w:val="outset" w:sz="6" w:space="0" w:color="auto"/>
              <w:bottom w:val="outset" w:sz="6" w:space="0" w:color="auto"/>
              <w:right w:val="outset" w:sz="6" w:space="0" w:color="auto"/>
            </w:tcBorders>
            <w:vAlign w:val="center"/>
            <w:hideMark/>
          </w:tcPr>
          <w:p w14:paraId="3A8591A4"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Число m</w:t>
            </w:r>
            <w:r w:rsidRPr="00FC08E0">
              <w:rPr>
                <w:rFonts w:ascii="Times New Roman" w:eastAsia="Times New Roman" w:hAnsi="Times New Roman" w:cs="Times New Roman"/>
                <w:i/>
                <w:iCs/>
                <w:color w:val="DD0055"/>
                <w:kern w:val="0"/>
                <w:sz w:val="24"/>
                <w:szCs w:val="24"/>
                <w:lang w:eastAsia="ru-RU"/>
                <w14:ligatures w14:val="none"/>
              </w:rPr>
              <w:t>ki</w:t>
            </w:r>
            <w:r w:rsidRPr="00FC08E0">
              <w:rPr>
                <w:rFonts w:ascii="Times New Roman" w:eastAsia="Times New Roman" w:hAnsi="Times New Roman" w:cs="Times New Roman"/>
                <w:kern w:val="0"/>
                <w:sz w:val="24"/>
                <w:szCs w:val="24"/>
                <w:lang w:eastAsia="ru-RU"/>
                <w14:ligatures w14:val="none"/>
              </w:rPr>
              <w:t> дефектов в соединении</w:t>
            </w:r>
          </w:p>
        </w:tc>
      </w:tr>
      <w:tr w:rsidR="00FC08E0" w:rsidRPr="00FC08E0" w14:paraId="1ABD9DCD" w14:textId="77777777" w:rsidTr="00FC08E0">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348329F"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3CAD906"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p>
        </w:tc>
        <w:tc>
          <w:tcPr>
            <w:tcW w:w="870" w:type="dxa"/>
            <w:tcBorders>
              <w:top w:val="outset" w:sz="6" w:space="0" w:color="auto"/>
              <w:left w:val="outset" w:sz="6" w:space="0" w:color="auto"/>
              <w:bottom w:val="outset" w:sz="6" w:space="0" w:color="auto"/>
              <w:right w:val="outset" w:sz="6" w:space="0" w:color="auto"/>
            </w:tcBorders>
            <w:vAlign w:val="center"/>
            <w:hideMark/>
          </w:tcPr>
          <w:p w14:paraId="57F49E29"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1</w:t>
            </w:r>
          </w:p>
        </w:tc>
        <w:tc>
          <w:tcPr>
            <w:tcW w:w="930" w:type="dxa"/>
            <w:tcBorders>
              <w:top w:val="outset" w:sz="6" w:space="0" w:color="auto"/>
              <w:left w:val="outset" w:sz="6" w:space="0" w:color="auto"/>
              <w:bottom w:val="outset" w:sz="6" w:space="0" w:color="auto"/>
              <w:right w:val="outset" w:sz="6" w:space="0" w:color="auto"/>
            </w:tcBorders>
            <w:vAlign w:val="center"/>
            <w:hideMark/>
          </w:tcPr>
          <w:p w14:paraId="5E6462B5"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2</w:t>
            </w:r>
          </w:p>
        </w:tc>
        <w:tc>
          <w:tcPr>
            <w:tcW w:w="1005" w:type="dxa"/>
            <w:tcBorders>
              <w:top w:val="outset" w:sz="6" w:space="0" w:color="auto"/>
              <w:left w:val="outset" w:sz="6" w:space="0" w:color="auto"/>
              <w:bottom w:val="outset" w:sz="6" w:space="0" w:color="auto"/>
              <w:right w:val="outset" w:sz="6" w:space="0" w:color="auto"/>
            </w:tcBorders>
            <w:vAlign w:val="center"/>
            <w:hideMark/>
          </w:tcPr>
          <w:p w14:paraId="4C2BB576"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3</w:t>
            </w:r>
          </w:p>
        </w:tc>
        <w:tc>
          <w:tcPr>
            <w:tcW w:w="1155" w:type="dxa"/>
            <w:tcBorders>
              <w:top w:val="outset" w:sz="6" w:space="0" w:color="auto"/>
              <w:left w:val="outset" w:sz="6" w:space="0" w:color="auto"/>
              <w:bottom w:val="outset" w:sz="6" w:space="0" w:color="auto"/>
              <w:right w:val="outset" w:sz="6" w:space="0" w:color="auto"/>
            </w:tcBorders>
            <w:vAlign w:val="center"/>
            <w:hideMark/>
          </w:tcPr>
          <w:p w14:paraId="43DD456F"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4</w:t>
            </w:r>
          </w:p>
        </w:tc>
      </w:tr>
      <w:tr w:rsidR="00FC08E0" w:rsidRPr="00FC08E0" w14:paraId="77458425" w14:textId="77777777" w:rsidTr="00FC08E0">
        <w:trPr>
          <w:jc w:val="center"/>
        </w:trPr>
        <w:tc>
          <w:tcPr>
            <w:tcW w:w="4605" w:type="dxa"/>
            <w:tcBorders>
              <w:top w:val="outset" w:sz="6" w:space="0" w:color="auto"/>
              <w:left w:val="outset" w:sz="6" w:space="0" w:color="auto"/>
              <w:bottom w:val="outset" w:sz="6" w:space="0" w:color="auto"/>
              <w:right w:val="outset" w:sz="6" w:space="0" w:color="auto"/>
            </w:tcBorders>
            <w:hideMark/>
          </w:tcPr>
          <w:p w14:paraId="775B7937"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Трещина</w:t>
            </w:r>
            <w:r w:rsidRPr="00FC08E0">
              <w:rPr>
                <w:rFonts w:ascii="Times New Roman" w:eastAsia="Times New Roman" w:hAnsi="Times New Roman" w:cs="Times New Roman"/>
                <w:kern w:val="0"/>
                <w:sz w:val="24"/>
                <w:szCs w:val="24"/>
                <w:lang w:eastAsia="ru-RU"/>
                <w14:ligatures w14:val="none"/>
              </w:rPr>
              <w:br/>
              <w:t>Несплавление</w:t>
            </w:r>
            <w:r w:rsidRPr="00FC08E0">
              <w:rPr>
                <w:rFonts w:ascii="Times New Roman" w:eastAsia="Times New Roman" w:hAnsi="Times New Roman" w:cs="Times New Roman"/>
                <w:kern w:val="0"/>
                <w:sz w:val="24"/>
                <w:szCs w:val="24"/>
                <w:lang w:eastAsia="ru-RU"/>
                <w14:ligatures w14:val="none"/>
              </w:rPr>
              <w:br/>
              <w:t>Поры диаметром 3...4 мм</w:t>
            </w:r>
            <w:r w:rsidRPr="00FC08E0">
              <w:rPr>
                <w:rFonts w:ascii="Times New Roman" w:eastAsia="Times New Roman" w:hAnsi="Times New Roman" w:cs="Times New Roman"/>
                <w:kern w:val="0"/>
                <w:sz w:val="24"/>
                <w:szCs w:val="24"/>
                <w:lang w:eastAsia="ru-RU"/>
                <w14:ligatures w14:val="none"/>
              </w:rPr>
              <w:br/>
              <w:t>Шлаковые включения диаметром 3... 4 мм</w:t>
            </w:r>
            <w:r w:rsidRPr="00FC08E0">
              <w:rPr>
                <w:rFonts w:ascii="Times New Roman" w:eastAsia="Times New Roman" w:hAnsi="Times New Roman" w:cs="Times New Roman"/>
                <w:kern w:val="0"/>
                <w:sz w:val="24"/>
                <w:szCs w:val="24"/>
                <w:lang w:eastAsia="ru-RU"/>
                <w14:ligatures w14:val="none"/>
              </w:rPr>
              <w:br/>
              <w:t>Поры диаметром 1 ... 2 мм</w:t>
            </w:r>
          </w:p>
        </w:tc>
        <w:tc>
          <w:tcPr>
            <w:tcW w:w="990" w:type="dxa"/>
            <w:tcBorders>
              <w:top w:val="outset" w:sz="6" w:space="0" w:color="auto"/>
              <w:left w:val="outset" w:sz="6" w:space="0" w:color="auto"/>
              <w:bottom w:val="outset" w:sz="6" w:space="0" w:color="auto"/>
              <w:right w:val="outset" w:sz="6" w:space="0" w:color="auto"/>
            </w:tcBorders>
            <w:vAlign w:val="center"/>
            <w:hideMark/>
          </w:tcPr>
          <w:p w14:paraId="0B463895"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100</w:t>
            </w:r>
            <w:r w:rsidRPr="00FC08E0">
              <w:rPr>
                <w:rFonts w:ascii="Times New Roman" w:eastAsia="Times New Roman" w:hAnsi="Times New Roman" w:cs="Times New Roman"/>
                <w:kern w:val="0"/>
                <w:sz w:val="24"/>
                <w:szCs w:val="24"/>
                <w:lang w:eastAsia="ru-RU"/>
                <w14:ligatures w14:val="none"/>
              </w:rPr>
              <w:br/>
              <w:t>10</w:t>
            </w:r>
            <w:r w:rsidRPr="00FC08E0">
              <w:rPr>
                <w:rFonts w:ascii="Times New Roman" w:eastAsia="Times New Roman" w:hAnsi="Times New Roman" w:cs="Times New Roman"/>
                <w:kern w:val="0"/>
                <w:sz w:val="24"/>
                <w:szCs w:val="24"/>
                <w:lang w:eastAsia="ru-RU"/>
                <w14:ligatures w14:val="none"/>
              </w:rPr>
              <w:br/>
              <w:t>4</w:t>
            </w:r>
            <w:r w:rsidRPr="00FC08E0">
              <w:rPr>
                <w:rFonts w:ascii="Times New Roman" w:eastAsia="Times New Roman" w:hAnsi="Times New Roman" w:cs="Times New Roman"/>
                <w:kern w:val="0"/>
                <w:sz w:val="24"/>
                <w:szCs w:val="24"/>
                <w:lang w:eastAsia="ru-RU"/>
                <w14:ligatures w14:val="none"/>
              </w:rPr>
              <w:br/>
              <w:t>3</w:t>
            </w:r>
            <w:r w:rsidRPr="00FC08E0">
              <w:rPr>
                <w:rFonts w:ascii="Times New Roman" w:eastAsia="Times New Roman" w:hAnsi="Times New Roman" w:cs="Times New Roman"/>
                <w:kern w:val="0"/>
                <w:sz w:val="24"/>
                <w:szCs w:val="24"/>
                <w:lang w:eastAsia="ru-RU"/>
                <w14:ligatures w14:val="none"/>
              </w:rPr>
              <w:br/>
              <w:t>1</w:t>
            </w:r>
          </w:p>
        </w:tc>
        <w:tc>
          <w:tcPr>
            <w:tcW w:w="870" w:type="dxa"/>
            <w:tcBorders>
              <w:top w:val="outset" w:sz="6" w:space="0" w:color="auto"/>
              <w:left w:val="outset" w:sz="6" w:space="0" w:color="auto"/>
              <w:bottom w:val="outset" w:sz="6" w:space="0" w:color="auto"/>
              <w:right w:val="outset" w:sz="6" w:space="0" w:color="auto"/>
            </w:tcBorders>
            <w:vAlign w:val="center"/>
            <w:hideMark/>
          </w:tcPr>
          <w:p w14:paraId="1FF55A83"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1</w:t>
            </w:r>
            <w:r w:rsidRPr="00FC08E0">
              <w:rPr>
                <w:rFonts w:ascii="Times New Roman" w:eastAsia="Times New Roman" w:hAnsi="Times New Roman" w:cs="Times New Roman"/>
                <w:kern w:val="0"/>
                <w:sz w:val="24"/>
                <w:szCs w:val="24"/>
                <w:lang w:eastAsia="ru-RU"/>
                <w14:ligatures w14:val="none"/>
              </w:rPr>
              <w:br/>
              <w:t>—</w:t>
            </w:r>
            <w:r w:rsidRPr="00FC08E0">
              <w:rPr>
                <w:rFonts w:ascii="Times New Roman" w:eastAsia="Times New Roman" w:hAnsi="Times New Roman" w:cs="Times New Roman"/>
                <w:kern w:val="0"/>
                <w:sz w:val="24"/>
                <w:szCs w:val="24"/>
                <w:lang w:eastAsia="ru-RU"/>
                <w14:ligatures w14:val="none"/>
              </w:rPr>
              <w:br/>
              <w:t>—</w:t>
            </w:r>
            <w:r w:rsidRPr="00FC08E0">
              <w:rPr>
                <w:rFonts w:ascii="Times New Roman" w:eastAsia="Times New Roman" w:hAnsi="Times New Roman" w:cs="Times New Roman"/>
                <w:kern w:val="0"/>
                <w:sz w:val="24"/>
                <w:szCs w:val="24"/>
                <w:lang w:eastAsia="ru-RU"/>
                <w14:ligatures w14:val="none"/>
              </w:rPr>
              <w:br/>
              <w:t>—</w:t>
            </w:r>
            <w:r w:rsidRPr="00FC08E0">
              <w:rPr>
                <w:rFonts w:ascii="Times New Roman" w:eastAsia="Times New Roman" w:hAnsi="Times New Roman" w:cs="Times New Roman"/>
                <w:kern w:val="0"/>
                <w:sz w:val="24"/>
                <w:szCs w:val="24"/>
                <w:lang w:eastAsia="ru-RU"/>
                <w14:ligatures w14:val="none"/>
              </w:rPr>
              <w:br/>
              <w:t>—</w:t>
            </w:r>
          </w:p>
        </w:tc>
        <w:tc>
          <w:tcPr>
            <w:tcW w:w="930" w:type="dxa"/>
            <w:tcBorders>
              <w:top w:val="outset" w:sz="6" w:space="0" w:color="auto"/>
              <w:left w:val="outset" w:sz="6" w:space="0" w:color="auto"/>
              <w:bottom w:val="outset" w:sz="6" w:space="0" w:color="auto"/>
              <w:right w:val="outset" w:sz="6" w:space="0" w:color="auto"/>
            </w:tcBorders>
            <w:vAlign w:val="center"/>
            <w:hideMark/>
          </w:tcPr>
          <w:p w14:paraId="229E17C7"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w:t>
            </w:r>
            <w:r w:rsidRPr="00FC08E0">
              <w:rPr>
                <w:rFonts w:ascii="Times New Roman" w:eastAsia="Times New Roman" w:hAnsi="Times New Roman" w:cs="Times New Roman"/>
                <w:kern w:val="0"/>
                <w:sz w:val="24"/>
                <w:szCs w:val="24"/>
                <w:lang w:eastAsia="ru-RU"/>
                <w14:ligatures w14:val="none"/>
              </w:rPr>
              <w:br/>
              <w:t>—</w:t>
            </w:r>
            <w:r w:rsidRPr="00FC08E0">
              <w:rPr>
                <w:rFonts w:ascii="Times New Roman" w:eastAsia="Times New Roman" w:hAnsi="Times New Roman" w:cs="Times New Roman"/>
                <w:kern w:val="0"/>
                <w:sz w:val="24"/>
                <w:szCs w:val="24"/>
                <w:lang w:eastAsia="ru-RU"/>
                <w14:ligatures w14:val="none"/>
              </w:rPr>
              <w:br/>
              <w:t>1</w:t>
            </w:r>
            <w:r w:rsidRPr="00FC08E0">
              <w:rPr>
                <w:rFonts w:ascii="Times New Roman" w:eastAsia="Times New Roman" w:hAnsi="Times New Roman" w:cs="Times New Roman"/>
                <w:kern w:val="0"/>
                <w:sz w:val="24"/>
                <w:szCs w:val="24"/>
                <w:lang w:eastAsia="ru-RU"/>
                <w14:ligatures w14:val="none"/>
              </w:rPr>
              <w:br/>
              <w:t>3</w:t>
            </w:r>
            <w:r w:rsidRPr="00FC08E0">
              <w:rPr>
                <w:rFonts w:ascii="Times New Roman" w:eastAsia="Times New Roman" w:hAnsi="Times New Roman" w:cs="Times New Roman"/>
                <w:kern w:val="0"/>
                <w:sz w:val="24"/>
                <w:szCs w:val="24"/>
                <w:lang w:eastAsia="ru-RU"/>
                <w14:ligatures w14:val="none"/>
              </w:rPr>
              <w:br/>
              <w:t>—</w:t>
            </w:r>
          </w:p>
        </w:tc>
        <w:tc>
          <w:tcPr>
            <w:tcW w:w="1005" w:type="dxa"/>
            <w:tcBorders>
              <w:top w:val="outset" w:sz="6" w:space="0" w:color="auto"/>
              <w:left w:val="outset" w:sz="6" w:space="0" w:color="auto"/>
              <w:bottom w:val="outset" w:sz="6" w:space="0" w:color="auto"/>
              <w:right w:val="outset" w:sz="6" w:space="0" w:color="auto"/>
            </w:tcBorders>
            <w:vAlign w:val="center"/>
            <w:hideMark/>
          </w:tcPr>
          <w:p w14:paraId="2602EC03"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w:t>
            </w:r>
            <w:r w:rsidRPr="00FC08E0">
              <w:rPr>
                <w:rFonts w:ascii="Times New Roman" w:eastAsia="Times New Roman" w:hAnsi="Times New Roman" w:cs="Times New Roman"/>
                <w:kern w:val="0"/>
                <w:sz w:val="24"/>
                <w:szCs w:val="24"/>
                <w:lang w:eastAsia="ru-RU"/>
                <w14:ligatures w14:val="none"/>
              </w:rPr>
              <w:br/>
              <w:t>1</w:t>
            </w:r>
            <w:r w:rsidRPr="00FC08E0">
              <w:rPr>
                <w:rFonts w:ascii="Times New Roman" w:eastAsia="Times New Roman" w:hAnsi="Times New Roman" w:cs="Times New Roman"/>
                <w:kern w:val="0"/>
                <w:sz w:val="24"/>
                <w:szCs w:val="24"/>
                <w:lang w:eastAsia="ru-RU"/>
                <w14:ligatures w14:val="none"/>
              </w:rPr>
              <w:br/>
              <w:t>1</w:t>
            </w:r>
            <w:r w:rsidRPr="00FC08E0">
              <w:rPr>
                <w:rFonts w:ascii="Times New Roman" w:eastAsia="Times New Roman" w:hAnsi="Times New Roman" w:cs="Times New Roman"/>
                <w:kern w:val="0"/>
                <w:sz w:val="24"/>
                <w:szCs w:val="24"/>
                <w:lang w:eastAsia="ru-RU"/>
                <w14:ligatures w14:val="none"/>
              </w:rPr>
              <w:br/>
              <w:t>—</w:t>
            </w:r>
            <w:r w:rsidRPr="00FC08E0">
              <w:rPr>
                <w:rFonts w:ascii="Times New Roman" w:eastAsia="Times New Roman" w:hAnsi="Times New Roman" w:cs="Times New Roman"/>
                <w:kern w:val="0"/>
                <w:sz w:val="24"/>
                <w:szCs w:val="24"/>
                <w:lang w:eastAsia="ru-RU"/>
                <w14:ligatures w14:val="none"/>
              </w:rPr>
              <w:br/>
              <w:t>—</w:t>
            </w:r>
          </w:p>
        </w:tc>
        <w:tc>
          <w:tcPr>
            <w:tcW w:w="1155" w:type="dxa"/>
            <w:tcBorders>
              <w:top w:val="outset" w:sz="6" w:space="0" w:color="auto"/>
              <w:left w:val="outset" w:sz="6" w:space="0" w:color="auto"/>
              <w:bottom w:val="outset" w:sz="6" w:space="0" w:color="auto"/>
              <w:right w:val="outset" w:sz="6" w:space="0" w:color="auto"/>
            </w:tcBorders>
            <w:vAlign w:val="center"/>
            <w:hideMark/>
          </w:tcPr>
          <w:p w14:paraId="5924E3D7"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w:t>
            </w:r>
            <w:r w:rsidRPr="00FC08E0">
              <w:rPr>
                <w:rFonts w:ascii="Times New Roman" w:eastAsia="Times New Roman" w:hAnsi="Times New Roman" w:cs="Times New Roman"/>
                <w:kern w:val="0"/>
                <w:sz w:val="24"/>
                <w:szCs w:val="24"/>
                <w:lang w:eastAsia="ru-RU"/>
                <w14:ligatures w14:val="none"/>
              </w:rPr>
              <w:br/>
              <w:t>1</w:t>
            </w:r>
            <w:r w:rsidRPr="00FC08E0">
              <w:rPr>
                <w:rFonts w:ascii="Times New Roman" w:eastAsia="Times New Roman" w:hAnsi="Times New Roman" w:cs="Times New Roman"/>
                <w:kern w:val="0"/>
                <w:sz w:val="24"/>
                <w:szCs w:val="24"/>
                <w:lang w:eastAsia="ru-RU"/>
                <w14:ligatures w14:val="none"/>
              </w:rPr>
              <w:br/>
              <w:t>—</w:t>
            </w:r>
            <w:r w:rsidRPr="00FC08E0">
              <w:rPr>
                <w:rFonts w:ascii="Times New Roman" w:eastAsia="Times New Roman" w:hAnsi="Times New Roman" w:cs="Times New Roman"/>
                <w:kern w:val="0"/>
                <w:sz w:val="24"/>
                <w:szCs w:val="24"/>
                <w:lang w:eastAsia="ru-RU"/>
                <w14:ligatures w14:val="none"/>
              </w:rPr>
              <w:br/>
            </w:r>
            <w:r w:rsidRPr="00FC08E0">
              <w:rPr>
                <w:rFonts w:ascii="Times New Roman" w:eastAsia="Times New Roman" w:hAnsi="Times New Roman" w:cs="Times New Roman"/>
                <w:kern w:val="0"/>
                <w:sz w:val="24"/>
                <w:szCs w:val="24"/>
                <w:lang w:eastAsia="ru-RU"/>
                <w14:ligatures w14:val="none"/>
              </w:rPr>
              <w:br/>
              <w:t>3</w:t>
            </w:r>
          </w:p>
        </w:tc>
      </w:tr>
    </w:tbl>
    <w:p w14:paraId="40EB85DD" w14:textId="2989D75D"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Тогда вероятность Д</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соответствия результатов НК системой, С</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действительному состоянию объекта контроля (т.е. согласно ГОСТ 14.306 - 73 достоверность системы НК) определяется формулой [4, 18]:</w:t>
      </w:r>
      <w:r w:rsidRPr="00FC08E0">
        <w:rPr>
          <w:rFonts w:ascii="Open Sans" w:eastAsia="Times New Roman" w:hAnsi="Open Sans" w:cs="Open Sans"/>
          <w:color w:val="444444"/>
          <w:kern w:val="0"/>
          <w:sz w:val="21"/>
          <w:szCs w:val="21"/>
          <w:lang w:eastAsia="ru-RU"/>
          <w14:ligatures w14:val="none"/>
        </w:rPr>
        <w:br/>
      </w:r>
      <w:r w:rsidRPr="00FC08E0">
        <w:rPr>
          <w:rFonts w:ascii="Open Sans" w:eastAsia="Times New Roman" w:hAnsi="Open Sans" w:cs="Open Sans"/>
          <w:noProof/>
          <w:color w:val="444444"/>
          <w:kern w:val="0"/>
          <w:sz w:val="21"/>
          <w:szCs w:val="21"/>
          <w:lang w:eastAsia="ru-RU"/>
          <w14:ligatures w14:val="none"/>
        </w:rPr>
        <w:drawing>
          <wp:inline distT="0" distB="0" distL="0" distR="0" wp14:anchorId="5CB255F1" wp14:editId="67A11404">
            <wp:extent cx="2133600" cy="236220"/>
            <wp:effectExtent l="0" t="0" r="0" b="0"/>
            <wp:docPr id="13133336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133600" cy="236220"/>
                    </a:xfrm>
                    <a:prstGeom prst="rect">
                      <a:avLst/>
                    </a:prstGeom>
                    <a:noFill/>
                    <a:ln>
                      <a:noFill/>
                    </a:ln>
                  </pic:spPr>
                </pic:pic>
              </a:graphicData>
            </a:graphic>
          </wp:inline>
        </w:drawing>
      </w:r>
      <w:r w:rsidRPr="00FC08E0">
        <w:rPr>
          <w:rFonts w:ascii="Open Sans" w:eastAsia="Times New Roman" w:hAnsi="Open Sans" w:cs="Open Sans"/>
          <w:color w:val="444444"/>
          <w:kern w:val="0"/>
          <w:sz w:val="21"/>
          <w:szCs w:val="21"/>
          <w:lang w:eastAsia="ru-RU"/>
          <w14:ligatures w14:val="none"/>
        </w:rPr>
        <w:t>                                                                                         (6.16)</w:t>
      </w:r>
      <w:r w:rsidRPr="00FC08E0">
        <w:rPr>
          <w:rFonts w:ascii="Open Sans" w:eastAsia="Times New Roman" w:hAnsi="Open Sans" w:cs="Open Sans"/>
          <w:color w:val="444444"/>
          <w:kern w:val="0"/>
          <w:sz w:val="21"/>
          <w:szCs w:val="21"/>
          <w:lang w:eastAsia="ru-RU"/>
          <w14:ligatures w14:val="none"/>
        </w:rPr>
        <w:br/>
        <w:t>Величины Д], характеризуя количественно достоверность систем НК конкретных объектов, в общем случае не позволяют выбрать наиболее эффективную систему.</w:t>
      </w:r>
    </w:p>
    <w:p w14:paraId="267B4408"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Таблица 6.7</w:t>
      </w:r>
    </w:p>
    <w:tbl>
      <w:tblPr>
        <w:tblW w:w="0" w:type="auto"/>
        <w:jc w:val="center"/>
        <w:tblCellMar>
          <w:left w:w="0" w:type="dxa"/>
          <w:right w:w="0" w:type="dxa"/>
        </w:tblCellMar>
        <w:tblLook w:val="04A0" w:firstRow="1" w:lastRow="0" w:firstColumn="1" w:lastColumn="0" w:noHBand="0" w:noVBand="1"/>
      </w:tblPr>
      <w:tblGrid>
        <w:gridCol w:w="1485"/>
        <w:gridCol w:w="1065"/>
        <w:gridCol w:w="990"/>
        <w:gridCol w:w="990"/>
        <w:gridCol w:w="990"/>
        <w:gridCol w:w="1275"/>
        <w:gridCol w:w="1275"/>
        <w:gridCol w:w="1275"/>
      </w:tblGrid>
      <w:tr w:rsidR="00FC08E0" w:rsidRPr="00FC08E0" w14:paraId="1FC861FE" w14:textId="77777777" w:rsidTr="00FC08E0">
        <w:trPr>
          <w:jc w:val="center"/>
        </w:trPr>
        <w:tc>
          <w:tcPr>
            <w:tcW w:w="1485" w:type="dxa"/>
            <w:vMerge w:val="restart"/>
            <w:vAlign w:val="center"/>
            <w:hideMark/>
          </w:tcPr>
          <w:p w14:paraId="61EDAB17"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br/>
              <w:t>Тип дефекта </w:t>
            </w:r>
            <w:r w:rsidRPr="00FC08E0">
              <w:rPr>
                <w:rFonts w:ascii="Times New Roman" w:eastAsia="Times New Roman" w:hAnsi="Times New Roman" w:cs="Times New Roman"/>
                <w:i/>
                <w:iCs/>
                <w:color w:val="DD0055"/>
                <w:kern w:val="0"/>
                <w:sz w:val="24"/>
                <w:szCs w:val="24"/>
                <w:lang w:eastAsia="ru-RU"/>
                <w14:ligatures w14:val="none"/>
              </w:rPr>
              <w:t>k</w:t>
            </w:r>
          </w:p>
        </w:tc>
        <w:tc>
          <w:tcPr>
            <w:tcW w:w="1065" w:type="dxa"/>
            <w:vMerge w:val="restart"/>
            <w:vAlign w:val="center"/>
            <w:hideMark/>
          </w:tcPr>
          <w:p w14:paraId="75C9766E"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i/>
                <w:iCs/>
                <w:color w:val="DD0055"/>
                <w:kern w:val="0"/>
                <w:sz w:val="24"/>
                <w:szCs w:val="24"/>
                <w:lang w:eastAsia="ru-RU"/>
                <w14:ligatures w14:val="none"/>
              </w:rPr>
              <w:t>P</w:t>
            </w:r>
            <w:r w:rsidRPr="00FC08E0">
              <w:rPr>
                <w:rFonts w:ascii="Times New Roman" w:eastAsia="Times New Roman" w:hAnsi="Times New Roman" w:cs="Times New Roman"/>
                <w:kern w:val="0"/>
                <w:sz w:val="24"/>
                <w:szCs w:val="24"/>
                <w:lang w:eastAsia="ru-RU"/>
                <w14:ligatures w14:val="none"/>
              </w:rPr>
              <w:t>(</w:t>
            </w:r>
            <w:r w:rsidRPr="00FC08E0">
              <w:rPr>
                <w:rFonts w:ascii="Times New Roman" w:eastAsia="Times New Roman" w:hAnsi="Times New Roman" w:cs="Times New Roman"/>
                <w:i/>
                <w:iCs/>
                <w:color w:val="DD0055"/>
                <w:kern w:val="0"/>
                <w:sz w:val="24"/>
                <w:szCs w:val="24"/>
                <w:lang w:eastAsia="ru-RU"/>
                <w14:ligatures w14:val="none"/>
              </w:rPr>
              <w:t>Аk</w:t>
            </w:r>
            <w:r w:rsidRPr="00FC08E0">
              <w:rPr>
                <w:rFonts w:ascii="Times New Roman" w:eastAsia="Times New Roman" w:hAnsi="Times New Roman" w:cs="Times New Roman"/>
                <w:kern w:val="0"/>
                <w:sz w:val="24"/>
                <w:szCs w:val="24"/>
                <w:lang w:eastAsia="ru-RU"/>
                <w14:ligatures w14:val="none"/>
              </w:rPr>
              <w:t>)</w:t>
            </w:r>
          </w:p>
        </w:tc>
        <w:tc>
          <w:tcPr>
            <w:tcW w:w="2970" w:type="dxa"/>
            <w:gridSpan w:val="3"/>
            <w:vAlign w:val="center"/>
            <w:hideMark/>
          </w:tcPr>
          <w:p w14:paraId="4CD15B70"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i/>
                <w:iCs/>
                <w:color w:val="DD0055"/>
                <w:kern w:val="0"/>
                <w:sz w:val="24"/>
                <w:szCs w:val="24"/>
                <w:lang w:eastAsia="ru-RU"/>
                <w14:ligatures w14:val="none"/>
              </w:rPr>
              <w:t>fk</w:t>
            </w:r>
            <w:r w:rsidRPr="00FC08E0">
              <w:rPr>
                <w:rFonts w:ascii="Times New Roman" w:eastAsia="Times New Roman" w:hAnsi="Times New Roman" w:cs="Times New Roman"/>
                <w:kern w:val="0"/>
                <w:sz w:val="24"/>
                <w:szCs w:val="24"/>
                <w:lang w:eastAsia="ru-RU"/>
                <w14:ligatures w14:val="none"/>
              </w:rPr>
              <w:t>(</w:t>
            </w:r>
            <w:r w:rsidRPr="00FC08E0">
              <w:rPr>
                <w:rFonts w:ascii="Times New Roman" w:eastAsia="Times New Roman" w:hAnsi="Times New Roman" w:cs="Times New Roman"/>
                <w:i/>
                <w:iCs/>
                <w:color w:val="DD0055"/>
                <w:kern w:val="0"/>
                <w:sz w:val="24"/>
                <w:szCs w:val="24"/>
                <w:lang w:eastAsia="ru-RU"/>
                <w14:ligatures w14:val="none"/>
              </w:rPr>
              <w:t>m</w:t>
            </w:r>
            <w:r w:rsidRPr="00FC08E0">
              <w:rPr>
                <w:rFonts w:ascii="Times New Roman" w:eastAsia="Times New Roman" w:hAnsi="Times New Roman" w:cs="Times New Roman"/>
                <w:kern w:val="0"/>
                <w:sz w:val="24"/>
                <w:szCs w:val="24"/>
                <w:lang w:eastAsia="ru-RU"/>
                <w14:ligatures w14:val="none"/>
              </w:rPr>
              <w:t>)</w:t>
            </w:r>
          </w:p>
        </w:tc>
        <w:tc>
          <w:tcPr>
            <w:tcW w:w="3825" w:type="dxa"/>
            <w:gridSpan w:val="3"/>
            <w:vAlign w:val="center"/>
            <w:hideMark/>
          </w:tcPr>
          <w:p w14:paraId="16ADACBC"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P(B</w:t>
            </w:r>
            <w:r w:rsidRPr="00FC08E0">
              <w:rPr>
                <w:rFonts w:ascii="Times New Roman" w:eastAsia="Times New Roman" w:hAnsi="Times New Roman" w:cs="Times New Roman"/>
                <w:i/>
                <w:iCs/>
                <w:color w:val="DD0055"/>
                <w:kern w:val="0"/>
                <w:sz w:val="24"/>
                <w:szCs w:val="24"/>
                <w:lang w:eastAsia="ru-RU"/>
                <w14:ligatures w14:val="none"/>
              </w:rPr>
              <w:t>k</w:t>
            </w:r>
            <w:r w:rsidRPr="00FC08E0">
              <w:rPr>
                <w:rFonts w:ascii="Times New Roman" w:eastAsia="Times New Roman" w:hAnsi="Times New Roman" w:cs="Times New Roman"/>
                <w:kern w:val="0"/>
                <w:sz w:val="24"/>
                <w:szCs w:val="24"/>
                <w:lang w:eastAsia="ru-RU"/>
                <w14:ligatures w14:val="none"/>
              </w:rPr>
              <w:t>/Mt)</w:t>
            </w:r>
          </w:p>
        </w:tc>
      </w:tr>
      <w:tr w:rsidR="00FC08E0" w:rsidRPr="00FC08E0" w14:paraId="32FA8E6D" w14:textId="77777777" w:rsidTr="00FC08E0">
        <w:trPr>
          <w:jc w:val="center"/>
        </w:trPr>
        <w:tc>
          <w:tcPr>
            <w:tcW w:w="0" w:type="auto"/>
            <w:vMerge/>
            <w:vAlign w:val="center"/>
            <w:hideMark/>
          </w:tcPr>
          <w:p w14:paraId="656421DE"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p>
        </w:tc>
        <w:tc>
          <w:tcPr>
            <w:tcW w:w="0" w:type="auto"/>
            <w:vMerge/>
            <w:vAlign w:val="center"/>
            <w:hideMark/>
          </w:tcPr>
          <w:p w14:paraId="4D741E42" w14:textId="77777777" w:rsidR="00FC08E0" w:rsidRPr="00FC08E0" w:rsidRDefault="00FC08E0" w:rsidP="00FC08E0">
            <w:pPr>
              <w:spacing w:after="0" w:line="240" w:lineRule="auto"/>
              <w:rPr>
                <w:rFonts w:ascii="Times New Roman" w:eastAsia="Times New Roman" w:hAnsi="Times New Roman" w:cs="Times New Roman"/>
                <w:kern w:val="0"/>
                <w:sz w:val="24"/>
                <w:szCs w:val="24"/>
                <w:lang w:eastAsia="ru-RU"/>
                <w14:ligatures w14:val="none"/>
              </w:rPr>
            </w:pPr>
          </w:p>
        </w:tc>
        <w:tc>
          <w:tcPr>
            <w:tcW w:w="990" w:type="dxa"/>
            <w:vAlign w:val="center"/>
            <w:hideMark/>
          </w:tcPr>
          <w:p w14:paraId="7AB9B74B"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m=0</w:t>
            </w:r>
          </w:p>
        </w:tc>
        <w:tc>
          <w:tcPr>
            <w:tcW w:w="990" w:type="dxa"/>
            <w:vAlign w:val="center"/>
            <w:hideMark/>
          </w:tcPr>
          <w:p w14:paraId="41B9B8F9"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m=l</w:t>
            </w:r>
          </w:p>
        </w:tc>
        <w:tc>
          <w:tcPr>
            <w:tcW w:w="990" w:type="dxa"/>
            <w:vAlign w:val="center"/>
            <w:hideMark/>
          </w:tcPr>
          <w:p w14:paraId="0CFA04B2"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m=2</w:t>
            </w:r>
          </w:p>
        </w:tc>
        <w:tc>
          <w:tcPr>
            <w:tcW w:w="1275" w:type="dxa"/>
            <w:vAlign w:val="center"/>
            <w:hideMark/>
          </w:tcPr>
          <w:p w14:paraId="6E92EB24"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P(B</w:t>
            </w:r>
            <w:r w:rsidRPr="00FC08E0">
              <w:rPr>
                <w:rFonts w:ascii="Times New Roman" w:eastAsia="Times New Roman" w:hAnsi="Times New Roman" w:cs="Times New Roman"/>
                <w:i/>
                <w:iCs/>
                <w:color w:val="DD0055"/>
                <w:kern w:val="0"/>
                <w:sz w:val="24"/>
                <w:szCs w:val="24"/>
                <w:lang w:eastAsia="ru-RU"/>
                <w14:ligatures w14:val="none"/>
              </w:rPr>
              <w:t>k</w:t>
            </w:r>
            <w:r w:rsidRPr="00FC08E0">
              <w:rPr>
                <w:rFonts w:ascii="Times New Roman" w:eastAsia="Times New Roman" w:hAnsi="Times New Roman" w:cs="Times New Roman"/>
                <w:kern w:val="0"/>
                <w:sz w:val="24"/>
                <w:szCs w:val="24"/>
                <w:lang w:eastAsia="ru-RU"/>
                <w14:ligatures w14:val="none"/>
              </w:rPr>
              <w:t>/M1)</w:t>
            </w:r>
          </w:p>
        </w:tc>
        <w:tc>
          <w:tcPr>
            <w:tcW w:w="1275" w:type="dxa"/>
            <w:vAlign w:val="center"/>
            <w:hideMark/>
          </w:tcPr>
          <w:p w14:paraId="1553B30D"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P(B</w:t>
            </w:r>
            <w:r w:rsidRPr="00FC08E0">
              <w:rPr>
                <w:rFonts w:ascii="Times New Roman" w:eastAsia="Times New Roman" w:hAnsi="Times New Roman" w:cs="Times New Roman"/>
                <w:i/>
                <w:iCs/>
                <w:color w:val="DD0055"/>
                <w:kern w:val="0"/>
                <w:sz w:val="24"/>
                <w:szCs w:val="24"/>
                <w:lang w:eastAsia="ru-RU"/>
                <w14:ligatures w14:val="none"/>
              </w:rPr>
              <w:t>k</w:t>
            </w:r>
            <w:r w:rsidRPr="00FC08E0">
              <w:rPr>
                <w:rFonts w:ascii="Times New Roman" w:eastAsia="Times New Roman" w:hAnsi="Times New Roman" w:cs="Times New Roman"/>
                <w:kern w:val="0"/>
                <w:sz w:val="24"/>
                <w:szCs w:val="24"/>
                <w:lang w:eastAsia="ru-RU"/>
                <w14:ligatures w14:val="none"/>
              </w:rPr>
              <w:t>/M2)</w:t>
            </w:r>
          </w:p>
        </w:tc>
        <w:tc>
          <w:tcPr>
            <w:tcW w:w="1275" w:type="dxa"/>
            <w:vAlign w:val="center"/>
            <w:hideMark/>
          </w:tcPr>
          <w:p w14:paraId="4708ADA6"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P(B</w:t>
            </w:r>
            <w:r w:rsidRPr="00FC08E0">
              <w:rPr>
                <w:rFonts w:ascii="Times New Roman" w:eastAsia="Times New Roman" w:hAnsi="Times New Roman" w:cs="Times New Roman"/>
                <w:i/>
                <w:iCs/>
                <w:color w:val="DD0055"/>
                <w:kern w:val="0"/>
                <w:sz w:val="24"/>
                <w:szCs w:val="24"/>
                <w:lang w:eastAsia="ru-RU"/>
                <w14:ligatures w14:val="none"/>
              </w:rPr>
              <w:t>k</w:t>
            </w:r>
            <w:r w:rsidRPr="00FC08E0">
              <w:rPr>
                <w:rFonts w:ascii="Times New Roman" w:eastAsia="Times New Roman" w:hAnsi="Times New Roman" w:cs="Times New Roman"/>
                <w:kern w:val="0"/>
                <w:sz w:val="24"/>
                <w:szCs w:val="24"/>
                <w:lang w:eastAsia="ru-RU"/>
                <w14:ligatures w14:val="none"/>
              </w:rPr>
              <w:t>/M3)</w:t>
            </w:r>
          </w:p>
        </w:tc>
      </w:tr>
      <w:tr w:rsidR="00FC08E0" w:rsidRPr="00FC08E0" w14:paraId="7215D3CA" w14:textId="77777777" w:rsidTr="00FC08E0">
        <w:trPr>
          <w:jc w:val="center"/>
        </w:trPr>
        <w:tc>
          <w:tcPr>
            <w:tcW w:w="1485" w:type="dxa"/>
            <w:vAlign w:val="center"/>
            <w:hideMark/>
          </w:tcPr>
          <w:p w14:paraId="5136AC43"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1</w:t>
            </w:r>
            <w:r w:rsidRPr="00FC08E0">
              <w:rPr>
                <w:rFonts w:ascii="Times New Roman" w:eastAsia="Times New Roman" w:hAnsi="Times New Roman" w:cs="Times New Roman"/>
                <w:kern w:val="0"/>
                <w:sz w:val="24"/>
                <w:szCs w:val="24"/>
                <w:lang w:eastAsia="ru-RU"/>
                <w14:ligatures w14:val="none"/>
              </w:rPr>
              <w:br/>
              <w:t>2</w:t>
            </w:r>
          </w:p>
        </w:tc>
        <w:tc>
          <w:tcPr>
            <w:tcW w:w="1065" w:type="dxa"/>
            <w:vAlign w:val="center"/>
            <w:hideMark/>
          </w:tcPr>
          <w:p w14:paraId="397B56D0"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0,6</w:t>
            </w:r>
            <w:r w:rsidRPr="00FC08E0">
              <w:rPr>
                <w:rFonts w:ascii="Times New Roman" w:eastAsia="Times New Roman" w:hAnsi="Times New Roman" w:cs="Times New Roman"/>
                <w:kern w:val="0"/>
                <w:sz w:val="24"/>
                <w:szCs w:val="24"/>
                <w:lang w:eastAsia="ru-RU"/>
                <w14:ligatures w14:val="none"/>
              </w:rPr>
              <w:br/>
              <w:t>0,3</w:t>
            </w:r>
          </w:p>
        </w:tc>
        <w:tc>
          <w:tcPr>
            <w:tcW w:w="990" w:type="dxa"/>
            <w:vAlign w:val="center"/>
            <w:hideMark/>
          </w:tcPr>
          <w:p w14:paraId="4BBE468C"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0,8</w:t>
            </w:r>
            <w:r w:rsidRPr="00FC08E0">
              <w:rPr>
                <w:rFonts w:ascii="Times New Roman" w:eastAsia="Times New Roman" w:hAnsi="Times New Roman" w:cs="Times New Roman"/>
                <w:kern w:val="0"/>
                <w:sz w:val="24"/>
                <w:szCs w:val="24"/>
                <w:lang w:eastAsia="ru-RU"/>
                <w14:ligatures w14:val="none"/>
              </w:rPr>
              <w:br/>
              <w:t>0,7</w:t>
            </w:r>
          </w:p>
        </w:tc>
        <w:tc>
          <w:tcPr>
            <w:tcW w:w="990" w:type="dxa"/>
            <w:vAlign w:val="center"/>
            <w:hideMark/>
          </w:tcPr>
          <w:p w14:paraId="5DA552A8"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0,2</w:t>
            </w:r>
            <w:r w:rsidRPr="00FC08E0">
              <w:rPr>
                <w:rFonts w:ascii="Times New Roman" w:eastAsia="Times New Roman" w:hAnsi="Times New Roman" w:cs="Times New Roman"/>
                <w:kern w:val="0"/>
                <w:sz w:val="24"/>
                <w:szCs w:val="24"/>
                <w:lang w:eastAsia="ru-RU"/>
                <w14:ligatures w14:val="none"/>
              </w:rPr>
              <w:br/>
              <w:t>0,2</w:t>
            </w:r>
          </w:p>
        </w:tc>
        <w:tc>
          <w:tcPr>
            <w:tcW w:w="990" w:type="dxa"/>
            <w:vAlign w:val="center"/>
            <w:hideMark/>
          </w:tcPr>
          <w:p w14:paraId="2A60E328"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w:t>
            </w:r>
            <w:r w:rsidRPr="00FC08E0">
              <w:rPr>
                <w:rFonts w:ascii="Times New Roman" w:eastAsia="Times New Roman" w:hAnsi="Times New Roman" w:cs="Times New Roman"/>
                <w:kern w:val="0"/>
                <w:sz w:val="24"/>
                <w:szCs w:val="24"/>
                <w:lang w:eastAsia="ru-RU"/>
                <w14:ligatures w14:val="none"/>
              </w:rPr>
              <w:br/>
              <w:t>0,1</w:t>
            </w:r>
          </w:p>
        </w:tc>
        <w:tc>
          <w:tcPr>
            <w:tcW w:w="1275" w:type="dxa"/>
            <w:vAlign w:val="center"/>
            <w:hideMark/>
          </w:tcPr>
          <w:p w14:paraId="61F72D20"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0,5</w:t>
            </w:r>
            <w:r w:rsidRPr="00FC08E0">
              <w:rPr>
                <w:rFonts w:ascii="Times New Roman" w:eastAsia="Times New Roman" w:hAnsi="Times New Roman" w:cs="Times New Roman"/>
                <w:kern w:val="0"/>
                <w:sz w:val="24"/>
                <w:szCs w:val="24"/>
                <w:lang w:eastAsia="ru-RU"/>
                <w14:ligatures w14:val="none"/>
              </w:rPr>
              <w:br/>
              <w:t>0,6</w:t>
            </w:r>
          </w:p>
        </w:tc>
        <w:tc>
          <w:tcPr>
            <w:tcW w:w="1275" w:type="dxa"/>
            <w:vAlign w:val="center"/>
            <w:hideMark/>
          </w:tcPr>
          <w:p w14:paraId="628B1C49"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0,6</w:t>
            </w:r>
            <w:r w:rsidRPr="00FC08E0">
              <w:rPr>
                <w:rFonts w:ascii="Times New Roman" w:eastAsia="Times New Roman" w:hAnsi="Times New Roman" w:cs="Times New Roman"/>
                <w:kern w:val="0"/>
                <w:sz w:val="24"/>
                <w:szCs w:val="24"/>
                <w:lang w:eastAsia="ru-RU"/>
                <w14:ligatures w14:val="none"/>
              </w:rPr>
              <w:br/>
              <w:t>0,6</w:t>
            </w:r>
          </w:p>
        </w:tc>
        <w:tc>
          <w:tcPr>
            <w:tcW w:w="1275" w:type="dxa"/>
            <w:vAlign w:val="center"/>
            <w:hideMark/>
          </w:tcPr>
          <w:p w14:paraId="0DC8F96F" w14:textId="77777777" w:rsidR="00FC08E0" w:rsidRPr="00FC08E0" w:rsidRDefault="00FC08E0" w:rsidP="00FC08E0">
            <w:pPr>
              <w:spacing w:after="225" w:line="240" w:lineRule="auto"/>
              <w:jc w:val="both"/>
              <w:rPr>
                <w:rFonts w:ascii="Times New Roman" w:eastAsia="Times New Roman" w:hAnsi="Times New Roman" w:cs="Times New Roman"/>
                <w:kern w:val="0"/>
                <w:sz w:val="24"/>
                <w:szCs w:val="24"/>
                <w:lang w:eastAsia="ru-RU"/>
                <w14:ligatures w14:val="none"/>
              </w:rPr>
            </w:pPr>
            <w:r w:rsidRPr="00FC08E0">
              <w:rPr>
                <w:rFonts w:ascii="Times New Roman" w:eastAsia="Times New Roman" w:hAnsi="Times New Roman" w:cs="Times New Roman"/>
                <w:kern w:val="0"/>
                <w:sz w:val="24"/>
                <w:szCs w:val="24"/>
                <w:lang w:eastAsia="ru-RU"/>
                <w14:ligatures w14:val="none"/>
              </w:rPr>
              <w:t>0,8</w:t>
            </w:r>
            <w:r w:rsidRPr="00FC08E0">
              <w:rPr>
                <w:rFonts w:ascii="Times New Roman" w:eastAsia="Times New Roman" w:hAnsi="Times New Roman" w:cs="Times New Roman"/>
                <w:kern w:val="0"/>
                <w:sz w:val="24"/>
                <w:szCs w:val="24"/>
                <w:lang w:eastAsia="ru-RU"/>
                <w14:ligatures w14:val="none"/>
              </w:rPr>
              <w:br/>
              <w:t>0,4</w:t>
            </w:r>
          </w:p>
        </w:tc>
      </w:tr>
    </w:tbl>
    <w:p w14:paraId="4A6ADCA0"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Таким образом, интегральный критерий эффективности, в зависимости от класса задач формирования эффективных систем НК, приобретает конкретные инженерные выражения, использование которых в практике контроля не вызывает каких-либо затруднений.</w:t>
      </w:r>
    </w:p>
    <w:p w14:paraId="009EC3DD" w14:textId="77777777" w:rsidR="00FC08E0" w:rsidRPr="00FC08E0" w:rsidRDefault="00FC08E0" w:rsidP="00FC08E0">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FC08E0">
        <w:rPr>
          <w:rFonts w:ascii="Open Sans" w:eastAsia="Times New Roman" w:hAnsi="Open Sans" w:cs="Open Sans"/>
          <w:color w:val="444444"/>
          <w:kern w:val="0"/>
          <w:sz w:val="21"/>
          <w:szCs w:val="21"/>
          <w:lang w:eastAsia="ru-RU"/>
          <w14:ligatures w14:val="none"/>
        </w:rPr>
        <w:t>Задачи и контрольные вопросы</w:t>
      </w:r>
      <w:r w:rsidRPr="00FC08E0">
        <w:rPr>
          <w:rFonts w:ascii="Open Sans" w:eastAsia="Times New Roman" w:hAnsi="Open Sans" w:cs="Open Sans"/>
          <w:color w:val="444444"/>
          <w:kern w:val="0"/>
          <w:sz w:val="21"/>
          <w:szCs w:val="21"/>
          <w:lang w:eastAsia="ru-RU"/>
          <w14:ligatures w14:val="none"/>
        </w:rPr>
        <w:br/>
        <w:t>1 В объекте имеется один дефект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вероятность выявления которого тремя возможными методами составляет: Pд-оп(B</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/M1)=0,5; Рд-оп(В</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/М2)=0,7; Pд-оп(B</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xml:space="preserve">/M3)=0,4. Определите вероятности пропуска дефекта системами контроля, формируемыми из указанных </w:t>
      </w:r>
      <w:r w:rsidRPr="00FC08E0">
        <w:rPr>
          <w:rFonts w:ascii="Open Sans" w:eastAsia="Times New Roman" w:hAnsi="Open Sans" w:cs="Open Sans"/>
          <w:color w:val="444444"/>
          <w:kern w:val="0"/>
          <w:sz w:val="21"/>
          <w:szCs w:val="21"/>
          <w:lang w:eastAsia="ru-RU"/>
          <w14:ligatures w14:val="none"/>
        </w:rPr>
        <w:lastRenderedPageBreak/>
        <w:t>методов (всего семь систем).</w:t>
      </w:r>
      <w:r w:rsidRPr="00FC08E0">
        <w:rPr>
          <w:rFonts w:ascii="Open Sans" w:eastAsia="Times New Roman" w:hAnsi="Open Sans" w:cs="Open Sans"/>
          <w:color w:val="444444"/>
          <w:kern w:val="0"/>
          <w:sz w:val="21"/>
          <w:szCs w:val="21"/>
          <w:lang w:eastAsia="ru-RU"/>
          <w14:ligatures w14:val="none"/>
        </w:rPr>
        <w:br/>
        <w:t>2 Вероятность обнаружения в объекте дефекта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при ультразвуковом контроле составляют: первым оператором Рд-оп(В</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/УЗК1)=0,4; вторым — Рд-оп(В</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/УЗК2)=0,6. Определите вероятность выявления дефекта при комплексном контроле объекта независимо двумя операторами.</w:t>
      </w:r>
      <w:r w:rsidRPr="00FC08E0">
        <w:rPr>
          <w:rFonts w:ascii="Open Sans" w:eastAsia="Times New Roman" w:hAnsi="Open Sans" w:cs="Open Sans"/>
          <w:color w:val="444444"/>
          <w:kern w:val="0"/>
          <w:sz w:val="21"/>
          <w:szCs w:val="21"/>
          <w:lang w:eastAsia="ru-RU"/>
          <w14:ligatures w14:val="none"/>
        </w:rPr>
        <w:br/>
        <w:t>3 Вероятность обнаружения пор в некотором соединении методом рентгенографирования (R) составляет Pд-оп(Bн/R)=0,97, а ультразвуковым методом (УЗК) — Рд-оп(Вн/УЗК)=0,71. Выведите формулу для определения числа </w:t>
      </w:r>
      <w:r w:rsidRPr="00FC08E0">
        <w:rPr>
          <w:rFonts w:ascii="Open Sans" w:eastAsia="Times New Roman" w:hAnsi="Open Sans" w:cs="Open Sans"/>
          <w:i/>
          <w:iCs/>
          <w:color w:val="DD0055"/>
          <w:kern w:val="0"/>
          <w:sz w:val="21"/>
          <w:szCs w:val="21"/>
          <w:lang w:eastAsia="ru-RU"/>
          <w14:ligatures w14:val="none"/>
        </w:rPr>
        <w:t>N</w:t>
      </w:r>
      <w:r w:rsidRPr="00FC08E0">
        <w:rPr>
          <w:rFonts w:ascii="Open Sans" w:eastAsia="Times New Roman" w:hAnsi="Open Sans" w:cs="Open Sans"/>
          <w:color w:val="444444"/>
          <w:kern w:val="0"/>
          <w:sz w:val="21"/>
          <w:szCs w:val="21"/>
          <w:lang w:eastAsia="ru-RU"/>
          <w14:ligatures w14:val="none"/>
        </w:rPr>
        <w:t> операторов УЗК, которые при независимом контроле объекта обеспечат Обнаружение поры с вероятностью Рд-оп(Вп/R); рассчитайте число операторов </w:t>
      </w:r>
      <w:r w:rsidRPr="00FC08E0">
        <w:rPr>
          <w:rFonts w:ascii="Open Sans" w:eastAsia="Times New Roman" w:hAnsi="Open Sans" w:cs="Open Sans"/>
          <w:i/>
          <w:iCs/>
          <w:color w:val="DD0055"/>
          <w:kern w:val="0"/>
          <w:sz w:val="21"/>
          <w:szCs w:val="21"/>
          <w:lang w:eastAsia="ru-RU"/>
          <w14:ligatures w14:val="none"/>
        </w:rPr>
        <w:t>N</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color w:val="444444"/>
          <w:kern w:val="0"/>
          <w:sz w:val="21"/>
          <w:szCs w:val="21"/>
          <w:lang w:eastAsia="ru-RU"/>
          <w14:ligatures w14:val="none"/>
        </w:rPr>
        <w:br/>
        <w:t>4 В объекте два дефекта, потенциальная опасность которых P(А1)=0,6 и Р(А2)=0,2. Определите вероятность G возникновения аварийной ситуации в объекте.</w:t>
      </w:r>
      <w:r w:rsidRPr="00FC08E0">
        <w:rPr>
          <w:rFonts w:ascii="Open Sans" w:eastAsia="Times New Roman" w:hAnsi="Open Sans" w:cs="Open Sans"/>
          <w:color w:val="444444"/>
          <w:kern w:val="0"/>
          <w:sz w:val="21"/>
          <w:szCs w:val="21"/>
          <w:lang w:eastAsia="ru-RU"/>
          <w14:ligatures w14:val="none"/>
        </w:rPr>
        <w:br/>
        <w:t>5 В трех стыковых  швах методом рентгенографирования зафиксированы дефекты D</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различного типа — вида </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коэффициенты опасности r</w:t>
      </w:r>
      <w:r w:rsidRPr="00FC08E0">
        <w:rPr>
          <w:rFonts w:ascii="Open Sans" w:eastAsia="Times New Roman" w:hAnsi="Open Sans" w:cs="Open Sans"/>
          <w:i/>
          <w:iCs/>
          <w:color w:val="DD0055"/>
          <w:kern w:val="0"/>
          <w:sz w:val="21"/>
          <w:szCs w:val="21"/>
          <w:lang w:eastAsia="ru-RU"/>
          <w14:ligatures w14:val="none"/>
        </w:rPr>
        <w:t>ki</w:t>
      </w:r>
      <w:r w:rsidRPr="00FC08E0">
        <w:rPr>
          <w:rFonts w:ascii="Open Sans" w:eastAsia="Times New Roman" w:hAnsi="Open Sans" w:cs="Open Sans"/>
          <w:color w:val="444444"/>
          <w:kern w:val="0"/>
          <w:sz w:val="21"/>
          <w:szCs w:val="21"/>
          <w:lang w:eastAsia="ru-RU"/>
          <w14:ligatures w14:val="none"/>
        </w:rPr>
        <w:t> и число </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которых в каждом соединении приведены в табл. 6.6.</w:t>
      </w:r>
      <w:r w:rsidRPr="00FC08E0">
        <w:rPr>
          <w:rFonts w:ascii="Open Sans" w:eastAsia="Times New Roman" w:hAnsi="Open Sans" w:cs="Open Sans"/>
          <w:color w:val="444444"/>
          <w:kern w:val="0"/>
          <w:sz w:val="21"/>
          <w:szCs w:val="21"/>
          <w:lang w:eastAsia="ru-RU"/>
          <w14:ligatures w14:val="none"/>
        </w:rPr>
        <w:br/>
        <w:t>В соответствии с табл. 6.6 определите класс дефектности соединений, приняв Р*(Ат)=0,99.</w:t>
      </w:r>
      <w:r w:rsidRPr="00FC08E0">
        <w:rPr>
          <w:rFonts w:ascii="Open Sans" w:eastAsia="Times New Roman" w:hAnsi="Open Sans" w:cs="Open Sans"/>
          <w:color w:val="444444"/>
          <w:kern w:val="0"/>
          <w:sz w:val="21"/>
          <w:szCs w:val="21"/>
          <w:lang w:eastAsia="ru-RU"/>
          <w14:ligatures w14:val="none"/>
        </w:rPr>
        <w:br/>
        <w:t>6 В объекте могут образоваться дефекты двух типов </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 Для выявления дефектов могут быть использованы три варианта методов: M1, М2, M3.</w:t>
      </w:r>
      <w:r w:rsidRPr="00FC08E0">
        <w:rPr>
          <w:rFonts w:ascii="Open Sans" w:eastAsia="Times New Roman" w:hAnsi="Open Sans" w:cs="Open Sans"/>
          <w:color w:val="444444"/>
          <w:kern w:val="0"/>
          <w:sz w:val="21"/>
          <w:szCs w:val="21"/>
          <w:lang w:eastAsia="ru-RU"/>
          <w14:ligatures w14:val="none"/>
        </w:rPr>
        <w:br/>
        <w:t>Потенциальная опасность дефектов P(Ak) каждого типа, вероятности f</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w:t>
      </w:r>
      <w:r w:rsidRPr="00FC08E0">
        <w:rPr>
          <w:rFonts w:ascii="Open Sans" w:eastAsia="Times New Roman" w:hAnsi="Open Sans" w:cs="Open Sans"/>
          <w:i/>
          <w:iCs/>
          <w:color w:val="DD0055"/>
          <w:kern w:val="0"/>
          <w:sz w:val="21"/>
          <w:szCs w:val="21"/>
          <w:lang w:eastAsia="ru-RU"/>
          <w14:ligatures w14:val="none"/>
        </w:rPr>
        <w:t>m</w:t>
      </w:r>
      <w:r w:rsidRPr="00FC08E0">
        <w:rPr>
          <w:rFonts w:ascii="Open Sans" w:eastAsia="Times New Roman" w:hAnsi="Open Sans" w:cs="Open Sans"/>
          <w:color w:val="444444"/>
          <w:kern w:val="0"/>
          <w:sz w:val="21"/>
          <w:szCs w:val="21"/>
          <w:lang w:eastAsia="ru-RU"/>
          <w14:ligatures w14:val="none"/>
        </w:rPr>
        <w:t>) их возникновения и вероятности P(B</w:t>
      </w:r>
      <w:r w:rsidRPr="00FC08E0">
        <w:rPr>
          <w:rFonts w:ascii="Open Sans" w:eastAsia="Times New Roman" w:hAnsi="Open Sans" w:cs="Open Sans"/>
          <w:i/>
          <w:iCs/>
          <w:color w:val="DD0055"/>
          <w:kern w:val="0"/>
          <w:sz w:val="21"/>
          <w:szCs w:val="21"/>
          <w:lang w:eastAsia="ru-RU"/>
          <w14:ligatures w14:val="none"/>
        </w:rPr>
        <w:t>k</w:t>
      </w:r>
      <w:r w:rsidRPr="00FC08E0">
        <w:rPr>
          <w:rFonts w:ascii="Open Sans" w:eastAsia="Times New Roman" w:hAnsi="Open Sans" w:cs="Open Sans"/>
          <w:color w:val="444444"/>
          <w:kern w:val="0"/>
          <w:sz w:val="21"/>
          <w:szCs w:val="21"/>
          <w:lang w:eastAsia="ru-RU"/>
          <w14:ligatures w14:val="none"/>
        </w:rPr>
        <w:t>/Mt) выявления дефекта каждого типа й каждым методом Mt даны в табл. 6.7.</w:t>
      </w:r>
      <w:r w:rsidRPr="00FC08E0">
        <w:rPr>
          <w:rFonts w:ascii="Open Sans" w:eastAsia="Times New Roman" w:hAnsi="Open Sans" w:cs="Open Sans"/>
          <w:color w:val="444444"/>
          <w:kern w:val="0"/>
          <w:sz w:val="21"/>
          <w:szCs w:val="21"/>
          <w:lang w:eastAsia="ru-RU"/>
          <w14:ligatures w14:val="none"/>
        </w:rPr>
        <w:br/>
        <w:t>Определите число возможных систем Сj контроля и рациональную систему Срац выявления дефектов на базе двух из трех возможных методов, полагая, что </w:t>
      </w:r>
      <w:r w:rsidRPr="00FC08E0">
        <w:rPr>
          <w:rFonts w:ascii="Open Sans" w:eastAsia="Times New Roman" w:hAnsi="Open Sans" w:cs="Open Sans"/>
          <w:i/>
          <w:iCs/>
          <w:color w:val="DD0055"/>
          <w:kern w:val="0"/>
          <w:sz w:val="21"/>
          <w:szCs w:val="21"/>
          <w:lang w:eastAsia="ru-RU"/>
          <w14:ligatures w14:val="none"/>
        </w:rPr>
        <w:t>Э</w:t>
      </w:r>
      <w:r w:rsidRPr="00FC08E0">
        <w:rPr>
          <w:rFonts w:ascii="Open Sans" w:eastAsia="Times New Roman" w:hAnsi="Open Sans" w:cs="Open Sans"/>
          <w:color w:val="444444"/>
          <w:kern w:val="0"/>
          <w:sz w:val="21"/>
          <w:szCs w:val="21"/>
          <w:lang w:eastAsia="ru-RU"/>
          <w14:ligatures w14:val="none"/>
        </w:rPr>
        <w:t>Σj для всех систем одинаково.</w:t>
      </w:r>
      <w:r w:rsidRPr="00FC08E0">
        <w:rPr>
          <w:rFonts w:ascii="Open Sans" w:eastAsia="Times New Roman" w:hAnsi="Open Sans" w:cs="Open Sans"/>
          <w:color w:val="444444"/>
          <w:kern w:val="0"/>
          <w:sz w:val="21"/>
          <w:szCs w:val="21"/>
          <w:lang w:eastAsia="ru-RU"/>
          <w14:ligatures w14:val="none"/>
        </w:rPr>
        <w:br/>
        <w:t>7 Запишите условия, необходимые и достаточные для выбора эффективной системы НК, если заданы значения достоверности Д</w:t>
      </w:r>
      <w:r w:rsidRPr="00FC08E0">
        <w:rPr>
          <w:rFonts w:ascii="Open Sans" w:eastAsia="Times New Roman" w:hAnsi="Open Sans" w:cs="Open Sans"/>
          <w:i/>
          <w:iCs/>
          <w:color w:val="DD0055"/>
          <w:kern w:val="0"/>
          <w:sz w:val="21"/>
          <w:szCs w:val="21"/>
          <w:lang w:eastAsia="ru-RU"/>
          <w14:ligatures w14:val="none"/>
        </w:rPr>
        <w:t>j</w:t>
      </w:r>
      <w:r w:rsidRPr="00FC08E0">
        <w:rPr>
          <w:rFonts w:ascii="Open Sans" w:eastAsia="Times New Roman" w:hAnsi="Open Sans" w:cs="Open Sans"/>
          <w:color w:val="444444"/>
          <w:kern w:val="0"/>
          <w:sz w:val="21"/>
          <w:szCs w:val="21"/>
          <w:lang w:eastAsia="ru-RU"/>
          <w14:ligatures w14:val="none"/>
        </w:rPr>
        <w:t> возможных систем. НК данных объектов.</w:t>
      </w:r>
    </w:p>
    <w:p w14:paraId="0827B5FE" w14:textId="77777777" w:rsidR="007C47D5" w:rsidRDefault="007C47D5"/>
    <w:sectPr w:rsidR="007C47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495638"/>
    <w:multiLevelType w:val="multilevel"/>
    <w:tmpl w:val="F524F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0812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7D5"/>
    <w:rsid w:val="007C47D5"/>
    <w:rsid w:val="00FC08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03C7A"/>
  <w15:chartTrackingRefBased/>
  <w15:docId w15:val="{7B0D64CB-3EA0-4FB9-9478-FF000DCE0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FC08E0"/>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C08E0"/>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FC08E0"/>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Emphasis"/>
    <w:basedOn w:val="a0"/>
    <w:uiPriority w:val="20"/>
    <w:qFormat/>
    <w:rsid w:val="00FC08E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2964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gif"/><Relationship Id="rId26" Type="http://schemas.openxmlformats.org/officeDocument/2006/relationships/image" Target="media/image22.jpeg"/><Relationship Id="rId39" Type="http://schemas.openxmlformats.org/officeDocument/2006/relationships/image" Target="media/image35.gif"/><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image" Target="media/image38.gif"/><Relationship Id="rId47" Type="http://schemas.openxmlformats.org/officeDocument/2006/relationships/image" Target="media/image43.gif"/><Relationship Id="rId50" Type="http://schemas.openxmlformats.org/officeDocument/2006/relationships/image" Target="media/image46.gif"/><Relationship Id="rId55" Type="http://schemas.openxmlformats.org/officeDocument/2006/relationships/image" Target="media/image51.gif"/><Relationship Id="rId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image" Target="media/image12.gif"/><Relationship Id="rId29" Type="http://schemas.openxmlformats.org/officeDocument/2006/relationships/image" Target="media/image25.jpeg"/><Relationship Id="rId11" Type="http://schemas.openxmlformats.org/officeDocument/2006/relationships/image" Target="media/image7.jpeg"/><Relationship Id="rId24" Type="http://schemas.openxmlformats.org/officeDocument/2006/relationships/image" Target="media/image20.gif"/><Relationship Id="rId32" Type="http://schemas.openxmlformats.org/officeDocument/2006/relationships/image" Target="media/image28.jpeg"/><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image" Target="media/image41.jpeg"/><Relationship Id="rId53" Type="http://schemas.openxmlformats.org/officeDocument/2006/relationships/image" Target="media/image49.gif"/><Relationship Id="rId5" Type="http://schemas.openxmlformats.org/officeDocument/2006/relationships/image" Target="media/image1.gif"/><Relationship Id="rId19" Type="http://schemas.openxmlformats.org/officeDocument/2006/relationships/image" Target="media/image15.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jpeg"/><Relationship Id="rId35" Type="http://schemas.openxmlformats.org/officeDocument/2006/relationships/image" Target="media/image31.gif"/><Relationship Id="rId43" Type="http://schemas.openxmlformats.org/officeDocument/2006/relationships/image" Target="media/image39.gif"/><Relationship Id="rId48" Type="http://schemas.openxmlformats.org/officeDocument/2006/relationships/image" Target="media/image44.gif"/><Relationship Id="rId56" Type="http://schemas.openxmlformats.org/officeDocument/2006/relationships/fontTable" Target="fontTable.xml"/><Relationship Id="rId8" Type="http://schemas.openxmlformats.org/officeDocument/2006/relationships/image" Target="media/image4.gif"/><Relationship Id="rId51" Type="http://schemas.openxmlformats.org/officeDocument/2006/relationships/image" Target="media/image47.gif"/><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gif"/><Relationship Id="rId46" Type="http://schemas.openxmlformats.org/officeDocument/2006/relationships/image" Target="media/image42.gif"/><Relationship Id="rId20" Type="http://schemas.openxmlformats.org/officeDocument/2006/relationships/image" Target="media/image16.gif"/><Relationship Id="rId41" Type="http://schemas.openxmlformats.org/officeDocument/2006/relationships/image" Target="media/image37.gif"/><Relationship Id="rId54" Type="http://schemas.openxmlformats.org/officeDocument/2006/relationships/image" Target="media/image50.gif"/><Relationship Id="rId1" Type="http://schemas.openxmlformats.org/officeDocument/2006/relationships/numbering" Target="numbering.xml"/><Relationship Id="rId6" Type="http://schemas.openxmlformats.org/officeDocument/2006/relationships/image" Target="media/image2.gif"/><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gif"/><Relationship Id="rId36" Type="http://schemas.openxmlformats.org/officeDocument/2006/relationships/image" Target="media/image32.gif"/><Relationship Id="rId49" Type="http://schemas.openxmlformats.org/officeDocument/2006/relationships/image" Target="media/image45.gif"/><Relationship Id="rId57" Type="http://schemas.openxmlformats.org/officeDocument/2006/relationships/theme" Target="theme/theme1.xml"/><Relationship Id="rId10" Type="http://schemas.openxmlformats.org/officeDocument/2006/relationships/image" Target="media/image6.gif"/><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7138</Words>
  <Characters>40693</Characters>
  <Application>Microsoft Office Word</Application>
  <DocSecurity>0</DocSecurity>
  <Lines>339</Lines>
  <Paragraphs>95</Paragraphs>
  <ScaleCrop>false</ScaleCrop>
  <Company/>
  <LinksUpToDate>false</LinksUpToDate>
  <CharactersWithSpaces>47736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2</cp:revision>
  <dcterms:created xsi:type="dcterms:W3CDTF">2024-01-03T06:22:00Z</dcterms:created>
  <dcterms:modified xsi:type="dcterms:W3CDTF">2024-01-03T06:22:00Z</dcterms:modified>
</cp:coreProperties>
</file>